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86835FF" w14:textId="77777777" w:rsidR="00FF7848" w:rsidRDefault="00FF7848"/>
    <w:p w14:paraId="30EC6F60" w14:textId="77777777" w:rsidR="00FF7848" w:rsidRDefault="00C525E7">
      <w:pPr>
        <w:jc w:val="center"/>
      </w:pPr>
      <w:r>
        <w:rPr>
          <w:rFonts w:ascii="Times New Roman" w:eastAsia="Times New Roman" w:hAnsi="Times New Roman" w:cs="Times New Roman"/>
          <w:b/>
        </w:rPr>
        <w:t xml:space="preserve">In-Home Therapy Practice Profile </w:t>
      </w:r>
    </w:p>
    <w:p w14:paraId="79797363" w14:textId="77777777" w:rsidR="00FF7848" w:rsidRDefault="00C525E7">
      <w:pPr>
        <w:jc w:val="center"/>
      </w:pPr>
      <w:r>
        <w:rPr>
          <w:rFonts w:ascii="Times New Roman" w:eastAsia="Times New Roman" w:hAnsi="Times New Roman" w:cs="Times New Roman"/>
          <w:b/>
        </w:rPr>
        <w:t>Appendix:  Literature Review</w:t>
      </w:r>
    </w:p>
    <w:p w14:paraId="434CA20A" w14:textId="77777777" w:rsidR="00FF7848" w:rsidRDefault="00FF7848"/>
    <w:p w14:paraId="6DF123E2" w14:textId="77777777" w:rsidR="00FF7848" w:rsidRDefault="00C525E7">
      <w:r>
        <w:rPr>
          <w:rFonts w:ascii="Times New Roman" w:eastAsia="Times New Roman" w:hAnsi="Times New Roman" w:cs="Times New Roman"/>
          <w:u w:val="single"/>
        </w:rPr>
        <w:t>Core Components</w:t>
      </w:r>
    </w:p>
    <w:p w14:paraId="56FA9587" w14:textId="77777777" w:rsidR="00FF7848" w:rsidRDefault="00C525E7">
      <w:r>
        <w:rPr>
          <w:rFonts w:ascii="Times New Roman" w:eastAsia="Times New Roman" w:hAnsi="Times New Roman" w:cs="Times New Roman"/>
        </w:rPr>
        <w:t>Each practice profile matrix substantially aligns with the evidence</w:t>
      </w:r>
      <w:r w:rsidR="00CA75DC">
        <w:rPr>
          <w:rFonts w:ascii="Times New Roman" w:eastAsia="Times New Roman" w:hAnsi="Times New Roman" w:cs="Times New Roman"/>
        </w:rPr>
        <w:t>, and the literature related to IHT highlights certain practice skills, theories and areas of emerging research.</w:t>
      </w:r>
    </w:p>
    <w:p w14:paraId="664742C5" w14:textId="77777777" w:rsidR="00FF7848" w:rsidRDefault="00FF7848"/>
    <w:p w14:paraId="56D95A87" w14:textId="77777777" w:rsidR="00FF7848" w:rsidRDefault="00C525E7">
      <w:r>
        <w:rPr>
          <w:rFonts w:ascii="Times New Roman" w:eastAsia="Times New Roman" w:hAnsi="Times New Roman" w:cs="Times New Roman"/>
          <w:b/>
        </w:rPr>
        <w:t>Practicing Cultural Relevance</w:t>
      </w:r>
    </w:p>
    <w:p w14:paraId="6B72DA83" w14:textId="77777777" w:rsidR="00FF7848" w:rsidRDefault="00C525E7">
      <w:r>
        <w:rPr>
          <w:rFonts w:ascii="Times New Roman" w:eastAsia="Times New Roman" w:hAnsi="Times New Roman" w:cs="Times New Roman"/>
        </w:rPr>
        <w:t>An overview of the practice skills related to cultural relevance</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can be found in several reference books, and certain selected chapters discuss the application of cultural relevance specifically to in-home therapy.  Recent literature highlights the point that understanding unique cultural vulnerabilities and resilience across cultures and contexts is important to helping diverse families and refugee children and families. There are cultural and contextual differences related to resilience in children</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and differing parental beliefs about children’s mental health needs and treatment.</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 xml:space="preserve">  Engaging and serving Hispanic and African American adolescents and families call for culturally specific interventions and strategies.</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 xml:space="preserve"> Consider the specific needs of adolescents with behavior problems when they have experienced immigration-related separations.</w:t>
      </w:r>
      <w:r>
        <w:rPr>
          <w:rFonts w:ascii="Times New Roman" w:eastAsia="Times New Roman" w:hAnsi="Times New Roman" w:cs="Times New Roman"/>
          <w:vertAlign w:val="superscript"/>
        </w:rPr>
        <w:footnoteReference w:id="5"/>
      </w:r>
      <w:r>
        <w:rPr>
          <w:rFonts w:ascii="Times New Roman" w:eastAsia="Times New Roman" w:hAnsi="Times New Roman" w:cs="Times New Roman"/>
        </w:rPr>
        <w:t xml:space="preserve"> </w:t>
      </w:r>
    </w:p>
    <w:p w14:paraId="3035BBE4" w14:textId="77777777" w:rsidR="00FF7848" w:rsidRDefault="00FF7848"/>
    <w:p w14:paraId="1875EDAD" w14:textId="77777777" w:rsidR="00FF7848" w:rsidRDefault="00C525E7">
      <w:r>
        <w:rPr>
          <w:rFonts w:ascii="Times New Roman" w:eastAsia="Times New Roman" w:hAnsi="Times New Roman" w:cs="Times New Roman"/>
        </w:rPr>
        <w:t>Activities in even one early session can have a positive results (engagement, therapeutic alliance, activation) in bridging the gap between the family’s culturally influenced perspectives of their child’s behavioral and emotional responses and that of the clinician (cultural competence).</w:t>
      </w:r>
      <w:r>
        <w:rPr>
          <w:rFonts w:ascii="Times New Roman" w:eastAsia="Times New Roman" w:hAnsi="Times New Roman" w:cs="Times New Roman"/>
          <w:vertAlign w:val="superscript"/>
        </w:rPr>
        <w:footnoteReference w:id="6"/>
      </w:r>
      <w:r>
        <w:rPr>
          <w:rFonts w:ascii="Times New Roman" w:eastAsia="Times New Roman" w:hAnsi="Times New Roman" w:cs="Times New Roman"/>
        </w:rPr>
        <w:t xml:space="preserve">  Occasional examples of how practice has been culturally adapted are provided in the literature to illustrate practical applications (engagement, and interviewing skills, and new approaches to parenting and family relationships).</w:t>
      </w:r>
      <w:r>
        <w:rPr>
          <w:rFonts w:ascii="Times New Roman" w:eastAsia="Times New Roman" w:hAnsi="Times New Roman" w:cs="Times New Roman"/>
          <w:vertAlign w:val="superscript"/>
        </w:rPr>
        <w:footnoteReference w:id="7"/>
      </w:r>
      <w:r>
        <w:rPr>
          <w:rFonts w:ascii="Times New Roman" w:eastAsia="Times New Roman" w:hAnsi="Times New Roman" w:cs="Times New Roman"/>
        </w:rPr>
        <w:t xml:space="preserve">  It is helpful for clinicians to have self-awareness and to reflect on their perceptions of privilege and oppression as it may impact on the power differential between the clinician and client</w:t>
      </w:r>
      <w:r>
        <w:rPr>
          <w:rFonts w:ascii="Times New Roman" w:eastAsia="Times New Roman" w:hAnsi="Times New Roman" w:cs="Times New Roman"/>
          <w:vertAlign w:val="superscript"/>
        </w:rPr>
        <w:footnoteReference w:id="8"/>
      </w:r>
      <w:r>
        <w:rPr>
          <w:rFonts w:ascii="Times New Roman" w:eastAsia="Times New Roman" w:hAnsi="Times New Roman" w:cs="Times New Roman"/>
        </w:rPr>
        <w:t xml:space="preserve">.  </w:t>
      </w:r>
    </w:p>
    <w:p w14:paraId="7F2BC323" w14:textId="77777777" w:rsidR="00FF7848" w:rsidRDefault="00FF7848"/>
    <w:p w14:paraId="4CEA05E2" w14:textId="77777777" w:rsidR="00FF7848" w:rsidRDefault="00C525E7">
      <w:r>
        <w:rPr>
          <w:rFonts w:ascii="Times New Roman" w:eastAsia="Times New Roman" w:hAnsi="Times New Roman" w:cs="Times New Roman"/>
          <w:b/>
        </w:rPr>
        <w:t>Engagement</w:t>
      </w:r>
    </w:p>
    <w:p w14:paraId="48F085CB" w14:textId="77777777" w:rsidR="00FF7848" w:rsidRDefault="00C525E7">
      <w:r w:rsidRPr="009529F5">
        <w:rPr>
          <w:rFonts w:ascii="Times New Roman" w:eastAsia="Times New Roman" w:hAnsi="Times New Roman" w:cs="Times New Roman"/>
          <w:color w:val="auto"/>
        </w:rPr>
        <w:t>The engagement</w:t>
      </w:r>
      <w:r w:rsidRPr="009529F5">
        <w:rPr>
          <w:rFonts w:ascii="Times New Roman" w:eastAsia="Times New Roman" w:hAnsi="Times New Roman" w:cs="Times New Roman"/>
          <w:color w:val="auto"/>
          <w:vertAlign w:val="superscript"/>
        </w:rPr>
        <w:footnoteReference w:id="9"/>
      </w:r>
      <w:r w:rsidRPr="009529F5">
        <w:rPr>
          <w:rFonts w:ascii="Times New Roman" w:eastAsia="Times New Roman" w:hAnsi="Times New Roman" w:cs="Times New Roman"/>
        </w:rPr>
        <w:t xml:space="preserve"> process, and the specific practice skills that are essential to in-home therapy are provided in selected</w:t>
      </w:r>
      <w:r w:rsidR="00CA75DC">
        <w:rPr>
          <w:rFonts w:ascii="Times New Roman" w:eastAsia="Times New Roman" w:hAnsi="Times New Roman" w:cs="Times New Roman"/>
        </w:rPr>
        <w:t xml:space="preserve"> chapters of reference books. </w:t>
      </w:r>
      <w:r w:rsidRPr="009529F5">
        <w:rPr>
          <w:rFonts w:ascii="Times New Roman" w:eastAsia="Times New Roman" w:hAnsi="Times New Roman" w:cs="Times New Roman"/>
        </w:rPr>
        <w:t xml:space="preserve"> </w:t>
      </w:r>
      <w:r w:rsidR="009529F5" w:rsidRPr="009529F5">
        <w:rPr>
          <w:rFonts w:ascii="Times New Roman" w:eastAsia="Times New Roman" w:hAnsi="Times New Roman" w:cs="Times New Roman"/>
          <w:color w:val="auto"/>
        </w:rPr>
        <w:t>There is a period of critical timing and focus for engaging families.  Families are better engaged and retained when</w:t>
      </w:r>
      <w:r w:rsidR="00CA75DC">
        <w:rPr>
          <w:rFonts w:ascii="Times New Roman" w:eastAsia="Times New Roman" w:hAnsi="Times New Roman" w:cs="Times New Roman"/>
          <w:color w:val="auto"/>
        </w:rPr>
        <w:t xml:space="preserve"> their service providers focus the content of their earliest contacts </w:t>
      </w:r>
      <w:r w:rsidR="0009119A">
        <w:rPr>
          <w:rFonts w:ascii="Times New Roman" w:eastAsia="Times New Roman" w:hAnsi="Times New Roman" w:cs="Times New Roman"/>
          <w:color w:val="auto"/>
        </w:rPr>
        <w:t xml:space="preserve">in a way that is </w:t>
      </w:r>
      <w:r w:rsidR="00CA75DC">
        <w:rPr>
          <w:rFonts w:ascii="Times New Roman" w:eastAsia="Times New Roman" w:hAnsi="Times New Roman" w:cs="Times New Roman"/>
          <w:color w:val="auto"/>
        </w:rPr>
        <w:t xml:space="preserve">responsive to a sense of urgency and priorities </w:t>
      </w:r>
      <w:r w:rsidR="0009119A">
        <w:rPr>
          <w:rFonts w:ascii="Times New Roman" w:eastAsia="Times New Roman" w:hAnsi="Times New Roman" w:cs="Times New Roman"/>
          <w:color w:val="auto"/>
        </w:rPr>
        <w:t>(</w:t>
      </w:r>
      <w:r w:rsidR="00CA75DC">
        <w:rPr>
          <w:rFonts w:ascii="Times New Roman" w:eastAsia="Times New Roman" w:hAnsi="Times New Roman" w:cs="Times New Roman"/>
          <w:color w:val="auto"/>
        </w:rPr>
        <w:t xml:space="preserve">as </w:t>
      </w:r>
      <w:r w:rsidR="00CA75DC">
        <w:rPr>
          <w:rFonts w:ascii="Times New Roman" w:eastAsia="Times New Roman" w:hAnsi="Times New Roman" w:cs="Times New Roman"/>
          <w:color w:val="auto"/>
        </w:rPr>
        <w:lastRenderedPageBreak/>
        <w:t>identified by the family</w:t>
      </w:r>
      <w:r w:rsidR="0009119A">
        <w:rPr>
          <w:rFonts w:ascii="Times New Roman" w:eastAsia="Times New Roman" w:hAnsi="Times New Roman" w:cs="Times New Roman"/>
          <w:color w:val="auto"/>
        </w:rPr>
        <w:t xml:space="preserve">), </w:t>
      </w:r>
      <w:r w:rsidR="00CA75DC">
        <w:rPr>
          <w:rFonts w:ascii="Times New Roman" w:eastAsia="Times New Roman" w:hAnsi="Times New Roman" w:cs="Times New Roman"/>
          <w:color w:val="auto"/>
        </w:rPr>
        <w:t xml:space="preserve">specifically assisting them with initial </w:t>
      </w:r>
      <w:r w:rsidR="009529F5" w:rsidRPr="009529F5">
        <w:rPr>
          <w:rFonts w:ascii="Times New Roman" w:eastAsia="Times New Roman" w:hAnsi="Times New Roman" w:cs="Times New Roman"/>
          <w:color w:val="auto"/>
        </w:rPr>
        <w:t>problem-solving</w:t>
      </w:r>
      <w:r w:rsidRPr="009529F5">
        <w:rPr>
          <w:rFonts w:ascii="Times New Roman" w:eastAsia="Times New Roman" w:hAnsi="Times New Roman" w:cs="Times New Roman"/>
          <w:color w:val="auto"/>
          <w:vertAlign w:val="superscript"/>
        </w:rPr>
        <w:footnoteReference w:id="10"/>
      </w:r>
      <w:r w:rsidRPr="009529F5">
        <w:rPr>
          <w:rFonts w:ascii="Times New Roman" w:eastAsia="Times New Roman" w:hAnsi="Times New Roman" w:cs="Times New Roman"/>
          <w:color w:val="auto"/>
        </w:rPr>
        <w:t>.</w:t>
      </w: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Barriers to engagement include transference issues, such as a family’s past disappointments and negative experiences with treatment as well as other family circumstances such as stress and supports. </w:t>
      </w:r>
      <w:r>
        <w:rPr>
          <w:rFonts w:ascii="Times New Roman" w:eastAsia="Times New Roman" w:hAnsi="Times New Roman" w:cs="Times New Roman"/>
          <w:vertAlign w:val="superscript"/>
        </w:rPr>
        <w:footnoteReference w:id="11"/>
      </w:r>
      <w:r>
        <w:rPr>
          <w:rFonts w:ascii="Times New Roman" w:eastAsia="Times New Roman" w:hAnsi="Times New Roman" w:cs="Times New Roman"/>
        </w:rPr>
        <w:t xml:space="preserve"> Good engagement moves beyond the blaming of parents (attributing a lack of family commitment to treatment) and empowers parents to understand and accept their child’s diagnosis, and to actively join the treatment team</w:t>
      </w:r>
      <w:r>
        <w:rPr>
          <w:rFonts w:ascii="Times New Roman" w:eastAsia="Times New Roman" w:hAnsi="Times New Roman" w:cs="Times New Roman"/>
          <w:vertAlign w:val="superscript"/>
        </w:rPr>
        <w:footnoteReference w:id="12"/>
      </w:r>
      <w:r>
        <w:rPr>
          <w:rFonts w:ascii="Times New Roman" w:eastAsia="Times New Roman" w:hAnsi="Times New Roman" w:cs="Times New Roman"/>
        </w:rPr>
        <w:t xml:space="preserve">.  </w:t>
      </w:r>
    </w:p>
    <w:p w14:paraId="4E499CA7" w14:textId="77777777" w:rsidR="00FF7848" w:rsidRDefault="00FF7848"/>
    <w:p w14:paraId="790B9FAF" w14:textId="77777777" w:rsidR="00FF7848" w:rsidRDefault="00C525E7">
      <w:r>
        <w:rPr>
          <w:rFonts w:ascii="Times New Roman" w:eastAsia="Times New Roman" w:hAnsi="Times New Roman" w:cs="Times New Roman"/>
        </w:rPr>
        <w:t>Specific IHT engagement skills (strategizing who to widely engage and involve in treatment, active listening, empathic responding, tracking and utilizing client language, recognizing and joining the family’s interaction patterns, accepting and validating, using strength-based language, adjusting to the family’s response, framing) are embedded in systems theory</w:t>
      </w:r>
      <w:r>
        <w:rPr>
          <w:rFonts w:ascii="Times New Roman" w:eastAsia="Times New Roman" w:hAnsi="Times New Roman" w:cs="Times New Roman"/>
          <w:vertAlign w:val="superscript"/>
        </w:rPr>
        <w:footnoteReference w:id="13"/>
      </w:r>
      <w:r>
        <w:rPr>
          <w:rFonts w:ascii="Times New Roman" w:eastAsia="Times New Roman" w:hAnsi="Times New Roman" w:cs="Times New Roman"/>
        </w:rPr>
        <w:t>.  Some of the engagement skills, such as joining, are different when providing treatment in the family’s home, rather than in a clinic or office setting.</w:t>
      </w:r>
      <w:r>
        <w:rPr>
          <w:rFonts w:ascii="Times New Roman" w:eastAsia="Times New Roman" w:hAnsi="Times New Roman" w:cs="Times New Roman"/>
          <w:vertAlign w:val="superscript"/>
        </w:rPr>
        <w:footnoteReference w:id="14"/>
      </w:r>
      <w:r>
        <w:rPr>
          <w:rFonts w:ascii="Times New Roman" w:eastAsia="Times New Roman" w:hAnsi="Times New Roman" w:cs="Times New Roman"/>
        </w:rPr>
        <w:t xml:space="preserve">  Good results have been associated with a strong therapeutic alliance. Strong therapeutic alliance with the client (mother, father, adolescent) related to lower distress symptoms.</w:t>
      </w:r>
      <w:r>
        <w:rPr>
          <w:rFonts w:ascii="Times New Roman" w:eastAsia="Times New Roman" w:hAnsi="Times New Roman" w:cs="Times New Roman"/>
          <w:vertAlign w:val="superscript"/>
        </w:rPr>
        <w:footnoteReference w:id="15"/>
      </w:r>
      <w:r>
        <w:rPr>
          <w:rFonts w:ascii="Times New Roman" w:eastAsia="Times New Roman" w:hAnsi="Times New Roman" w:cs="Times New Roman"/>
        </w:rPr>
        <w:t xml:space="preserve"> Data reveals patterns of certain case characteristics and early terminations from treatment</w:t>
      </w:r>
      <w:r>
        <w:rPr>
          <w:rFonts w:ascii="Times New Roman" w:eastAsia="Times New Roman" w:hAnsi="Times New Roman" w:cs="Times New Roman"/>
          <w:vertAlign w:val="superscript"/>
        </w:rPr>
        <w:footnoteReference w:id="16"/>
      </w:r>
      <w:r>
        <w:rPr>
          <w:rFonts w:ascii="Times New Roman" w:eastAsia="Times New Roman" w:hAnsi="Times New Roman" w:cs="Times New Roman"/>
        </w:rPr>
        <w:t xml:space="preserve"> and distinguish between logistical and perceptual barriers</w:t>
      </w:r>
      <w:r>
        <w:rPr>
          <w:rFonts w:ascii="Times New Roman" w:eastAsia="Times New Roman" w:hAnsi="Times New Roman" w:cs="Times New Roman"/>
          <w:vertAlign w:val="superscript"/>
        </w:rPr>
        <w:footnoteReference w:id="17"/>
      </w:r>
      <w:r>
        <w:rPr>
          <w:rFonts w:ascii="Times New Roman" w:eastAsia="Times New Roman" w:hAnsi="Times New Roman" w:cs="Times New Roman"/>
        </w:rPr>
        <w:t>, which may be useful in helping agencies address their areas needing attention for engagement.  Engaging foster parents in home-based services is important to developing young children’s relationship capacities and supporting them in foster care</w:t>
      </w:r>
      <w:r>
        <w:rPr>
          <w:rFonts w:ascii="Times New Roman" w:eastAsia="Times New Roman" w:hAnsi="Times New Roman" w:cs="Times New Roman"/>
          <w:vertAlign w:val="superscript"/>
        </w:rPr>
        <w:footnoteReference w:id="18"/>
      </w:r>
      <w:r>
        <w:rPr>
          <w:rFonts w:ascii="Times New Roman" w:eastAsia="Times New Roman" w:hAnsi="Times New Roman" w:cs="Times New Roman"/>
        </w:rPr>
        <w:t>.</w:t>
      </w:r>
    </w:p>
    <w:p w14:paraId="4DFA07CA" w14:textId="77777777" w:rsidR="009529F5" w:rsidRDefault="009529F5"/>
    <w:p w14:paraId="0C09BD1B" w14:textId="77777777" w:rsidR="00FF7848" w:rsidRDefault="00C525E7">
      <w:r>
        <w:rPr>
          <w:rFonts w:ascii="Times New Roman" w:eastAsia="Times New Roman" w:hAnsi="Times New Roman" w:cs="Times New Roman"/>
          <w:b/>
        </w:rPr>
        <w:t>Assessment and Clinical Understanding</w:t>
      </w:r>
    </w:p>
    <w:p w14:paraId="6CA87DC9" w14:textId="77777777" w:rsidR="00FF7848" w:rsidRDefault="00C525E7">
      <w:r>
        <w:rPr>
          <w:rFonts w:ascii="Times New Roman" w:eastAsia="Times New Roman" w:hAnsi="Times New Roman" w:cs="Times New Roman"/>
        </w:rPr>
        <w:t>Assessment</w:t>
      </w:r>
      <w:r>
        <w:rPr>
          <w:rFonts w:ascii="Times New Roman" w:eastAsia="Times New Roman" w:hAnsi="Times New Roman" w:cs="Times New Roman"/>
          <w:vertAlign w:val="superscript"/>
        </w:rPr>
        <w:footnoteReference w:id="19"/>
      </w:r>
      <w:r>
        <w:rPr>
          <w:rFonts w:ascii="Times New Roman" w:eastAsia="Times New Roman" w:hAnsi="Times New Roman" w:cs="Times New Roman"/>
        </w:rPr>
        <w:t xml:space="preserve"> as a process that seeks sufficient information in order to guide the IHT provider’s treatment decisions is summarized in selected chapters of reference books.  The literature identifies the importance of considering various streams of information, which can be drawn from the child and family’s history as well as observations of the treatment team, information yielded from screening and standardized tools, and most importantly from details of current circumstances as described by the child and the family.  </w:t>
      </w:r>
    </w:p>
    <w:p w14:paraId="16EE8514" w14:textId="77777777" w:rsidR="00FF7848" w:rsidRDefault="00FF7848"/>
    <w:p w14:paraId="577409E2" w14:textId="77777777" w:rsidR="00FF7848" w:rsidRDefault="00C525E7">
      <w:r>
        <w:rPr>
          <w:rFonts w:ascii="Times New Roman" w:eastAsia="Times New Roman" w:hAnsi="Times New Roman" w:cs="Times New Roman"/>
        </w:rPr>
        <w:t xml:space="preserve">When assessing a child who is </w:t>
      </w:r>
      <w:r w:rsidR="009529F5">
        <w:rPr>
          <w:rFonts w:ascii="Times New Roman" w:eastAsia="Times New Roman" w:hAnsi="Times New Roman" w:cs="Times New Roman"/>
        </w:rPr>
        <w:t xml:space="preserve">not </w:t>
      </w:r>
      <w:r>
        <w:rPr>
          <w:rFonts w:ascii="Times New Roman" w:eastAsia="Times New Roman" w:hAnsi="Times New Roman" w:cs="Times New Roman"/>
        </w:rPr>
        <w:t>emo</w:t>
      </w:r>
      <w:r w:rsidR="009529F5">
        <w:rPr>
          <w:rFonts w:ascii="Times New Roman" w:eastAsia="Times New Roman" w:hAnsi="Times New Roman" w:cs="Times New Roman"/>
        </w:rPr>
        <w:t>tionally and or behaviorally self-</w:t>
      </w:r>
      <w:r>
        <w:rPr>
          <w:rFonts w:ascii="Times New Roman" w:eastAsia="Times New Roman" w:hAnsi="Times New Roman" w:cs="Times New Roman"/>
        </w:rPr>
        <w:t>regulated, consider trauma and survival circuits</w:t>
      </w:r>
      <w:r>
        <w:rPr>
          <w:rFonts w:ascii="Times New Roman" w:eastAsia="Times New Roman" w:hAnsi="Times New Roman" w:cs="Times New Roman"/>
          <w:vertAlign w:val="superscript"/>
        </w:rPr>
        <w:footnoteReference w:id="20"/>
      </w:r>
      <w:r>
        <w:rPr>
          <w:rFonts w:ascii="Times New Roman" w:eastAsia="Times New Roman" w:hAnsi="Times New Roman" w:cs="Times New Roman"/>
        </w:rPr>
        <w:t>.  Children’s behaviors and capacities change depending on who is present and what is the nature of their relationship with their caregiver.  Assessing families includes relationship assessments (what happens when they face problems) and an assessment of caregivers’ needs and strengths.</w:t>
      </w:r>
      <w:r>
        <w:rPr>
          <w:rFonts w:ascii="Times New Roman" w:eastAsia="Times New Roman" w:hAnsi="Times New Roman" w:cs="Times New Roman"/>
          <w:vertAlign w:val="superscript"/>
        </w:rPr>
        <w:footnoteReference w:id="21"/>
      </w:r>
      <w:r>
        <w:rPr>
          <w:rFonts w:ascii="Times New Roman" w:eastAsia="Times New Roman" w:hAnsi="Times New Roman" w:cs="Times New Roman"/>
        </w:rPr>
        <w:t xml:space="preserve">  Using </w:t>
      </w:r>
      <w:r>
        <w:rPr>
          <w:rFonts w:ascii="Times New Roman" w:eastAsia="Times New Roman" w:hAnsi="Times New Roman" w:cs="Times New Roman"/>
        </w:rPr>
        <w:lastRenderedPageBreak/>
        <w:t>tools such as genograms and eco</w:t>
      </w:r>
      <w:r w:rsidR="009529F5">
        <w:rPr>
          <w:rFonts w:ascii="Times New Roman" w:eastAsia="Times New Roman" w:hAnsi="Times New Roman" w:cs="Times New Roman"/>
        </w:rPr>
        <w:t>-</w:t>
      </w:r>
      <w:r>
        <w:rPr>
          <w:rFonts w:ascii="Times New Roman" w:eastAsia="Times New Roman" w:hAnsi="Times New Roman" w:cs="Times New Roman"/>
        </w:rPr>
        <w:t>maps can be more family friendly, while also increasing the quality of information that may be used for assessment.</w:t>
      </w:r>
      <w:r>
        <w:rPr>
          <w:rFonts w:ascii="Times New Roman" w:eastAsia="Times New Roman" w:hAnsi="Times New Roman" w:cs="Times New Roman"/>
          <w:vertAlign w:val="superscript"/>
        </w:rPr>
        <w:footnoteReference w:id="22"/>
      </w:r>
      <w:r>
        <w:rPr>
          <w:rFonts w:ascii="Times New Roman" w:eastAsia="Times New Roman" w:hAnsi="Times New Roman" w:cs="Times New Roman"/>
        </w:rPr>
        <w:t xml:space="preserve">  </w:t>
      </w:r>
    </w:p>
    <w:p w14:paraId="19AC1718" w14:textId="77777777" w:rsidR="00FF7848" w:rsidRDefault="00FF7848"/>
    <w:p w14:paraId="79FEAE16" w14:textId="77777777" w:rsidR="00FF7848" w:rsidRDefault="00C525E7">
      <w:r>
        <w:rPr>
          <w:rFonts w:ascii="Times New Roman" w:eastAsia="Times New Roman" w:hAnsi="Times New Roman" w:cs="Times New Roman"/>
        </w:rPr>
        <w:t>While tools such as genograms and ecomaps are good conceptual tools, there is a wide range of valuable standardized instruments which can also be useful screening tools and assessment tools.  Good interviewing and selective use of tools help the clinician to seek sufficient information and organize information to fulfill the purpose of assessment:  formulation.  For example, the CANS enlarges the scope of inquiry, a foundation of information, upon which to proceed to collaborative intervention planning.</w:t>
      </w:r>
    </w:p>
    <w:p w14:paraId="3A696EF0" w14:textId="77777777" w:rsidR="00FF7848" w:rsidRDefault="00FF7848"/>
    <w:p w14:paraId="79D1CB38" w14:textId="77777777" w:rsidR="00FF7848" w:rsidRDefault="00C525E7">
      <w:r>
        <w:rPr>
          <w:rFonts w:ascii="Times New Roman" w:eastAsia="Times New Roman" w:hAnsi="Times New Roman" w:cs="Times New Roman"/>
          <w:b/>
        </w:rPr>
        <w:t>Risk and Safety Planning</w:t>
      </w:r>
    </w:p>
    <w:p w14:paraId="006E21FA" w14:textId="77777777" w:rsidR="00FF7848" w:rsidRPr="009529F5" w:rsidRDefault="00C525E7">
      <w:pPr>
        <w:rPr>
          <w:color w:val="auto"/>
        </w:rPr>
      </w:pPr>
      <w:r>
        <w:rPr>
          <w:rFonts w:ascii="Times New Roman" w:eastAsia="Times New Roman" w:hAnsi="Times New Roman" w:cs="Times New Roman"/>
          <w:i/>
        </w:rPr>
        <w:t>Risk assessment and safety planning</w:t>
      </w:r>
      <w:r>
        <w:rPr>
          <w:rFonts w:ascii="Times New Roman" w:eastAsia="Times New Roman" w:hAnsi="Times New Roman" w:cs="Times New Roman"/>
          <w:i/>
          <w:vertAlign w:val="superscript"/>
        </w:rPr>
        <w:footnoteReference w:id="23"/>
      </w:r>
      <w:r>
        <w:rPr>
          <w:rFonts w:ascii="Times New Roman" w:eastAsia="Times New Roman" w:hAnsi="Times New Roman" w:cs="Times New Roman"/>
          <w:i/>
        </w:rPr>
        <w:t xml:space="preserve"> in IHT </w:t>
      </w:r>
      <w:r>
        <w:rPr>
          <w:rFonts w:ascii="Times New Roman" w:eastAsia="Times New Roman" w:hAnsi="Times New Roman" w:cs="Times New Roman"/>
        </w:rPr>
        <w:t>is consistent with the mental health literature, and goes beyond the most common focus on suicide risk to also include a wider range of emergent situations and potential dangers such as youth arrest, parental medical emergency in addition to suicide.  The steps and actions drawn from the tools and training</w:t>
      </w:r>
      <w:r>
        <w:rPr>
          <w:rFonts w:ascii="Times New Roman" w:eastAsia="Times New Roman" w:hAnsi="Times New Roman" w:cs="Times New Roman"/>
          <w:vertAlign w:val="superscript"/>
        </w:rPr>
        <w:footnoteReference w:id="24"/>
      </w:r>
      <w:r>
        <w:rPr>
          <w:rFonts w:ascii="Times New Roman" w:eastAsia="Times New Roman" w:hAnsi="Times New Roman" w:cs="Times New Roman"/>
        </w:rPr>
        <w:t xml:space="preserve"> of Kappy Madenwald.</w:t>
      </w:r>
      <w:r>
        <w:rPr>
          <w:rFonts w:ascii="Times New Roman" w:eastAsia="Times New Roman" w:hAnsi="Times New Roman" w:cs="Times New Roman"/>
          <w:vertAlign w:val="superscript"/>
        </w:rPr>
        <w:footnoteReference w:id="25"/>
      </w:r>
      <w:r>
        <w:rPr>
          <w:rFonts w:ascii="Times New Roman" w:eastAsia="Times New Roman" w:hAnsi="Times New Roman" w:cs="Times New Roman"/>
        </w:rPr>
        <w:t xml:space="preserve">   Additional MA DMH tools</w:t>
      </w:r>
      <w:r>
        <w:rPr>
          <w:rFonts w:ascii="Times New Roman" w:eastAsia="Times New Roman" w:hAnsi="Times New Roman" w:cs="Times New Roman"/>
          <w:vertAlign w:val="superscript"/>
        </w:rPr>
        <w:footnoteReference w:id="26"/>
      </w:r>
      <w:r>
        <w:rPr>
          <w:rFonts w:ascii="Times New Roman" w:eastAsia="Times New Roman" w:hAnsi="Times New Roman" w:cs="Times New Roman"/>
        </w:rPr>
        <w:t>, published online appear to have been developed for the purposes of reducing restraints and seclusions for sub-acute and inpatient settings, are also of high quality and may be useful for adaptation for the community-based work in IHT as well</w:t>
      </w:r>
      <w:r w:rsidRPr="009529F5">
        <w:rPr>
          <w:rFonts w:ascii="Times New Roman" w:eastAsia="Times New Roman" w:hAnsi="Times New Roman" w:cs="Times New Roman"/>
        </w:rPr>
        <w:t>.</w:t>
      </w:r>
      <w:r w:rsidRPr="009529F5">
        <w:rPr>
          <w:rFonts w:ascii="Times New Roman" w:eastAsia="Times New Roman" w:hAnsi="Times New Roman" w:cs="Times New Roman"/>
          <w:color w:val="0000FF"/>
        </w:rPr>
        <w:t xml:space="preserve">  </w:t>
      </w:r>
      <w:r w:rsidRPr="009529F5">
        <w:rPr>
          <w:rFonts w:ascii="Times New Roman" w:eastAsia="Times New Roman" w:hAnsi="Times New Roman" w:cs="Times New Roman"/>
          <w:color w:val="auto"/>
        </w:rPr>
        <w:t>It is important for clinicians to consider the distinctions between self-harm and suicidality, particularly in crisis planning</w:t>
      </w:r>
      <w:r w:rsidRPr="009529F5">
        <w:rPr>
          <w:rFonts w:ascii="Times New Roman" w:eastAsia="Times New Roman" w:hAnsi="Times New Roman" w:cs="Times New Roman"/>
          <w:color w:val="auto"/>
          <w:vertAlign w:val="superscript"/>
        </w:rPr>
        <w:footnoteReference w:id="27"/>
      </w:r>
      <w:r w:rsidRPr="009529F5">
        <w:rPr>
          <w:rFonts w:ascii="Times New Roman" w:eastAsia="Times New Roman" w:hAnsi="Times New Roman" w:cs="Times New Roman"/>
          <w:color w:val="auto"/>
        </w:rPr>
        <w:t xml:space="preserve">.  </w:t>
      </w:r>
    </w:p>
    <w:p w14:paraId="1C1A2666" w14:textId="77777777" w:rsidR="00FF7848" w:rsidRDefault="00FF7848"/>
    <w:p w14:paraId="323FE1D6" w14:textId="77777777" w:rsidR="00FF7848" w:rsidRDefault="00C525E7">
      <w:r>
        <w:rPr>
          <w:rFonts w:ascii="Times New Roman" w:eastAsia="Times New Roman" w:hAnsi="Times New Roman" w:cs="Times New Roman"/>
          <w:b/>
        </w:rPr>
        <w:t>Collaborative Intervention Planning</w:t>
      </w:r>
    </w:p>
    <w:p w14:paraId="57C7985C" w14:textId="77777777" w:rsidR="00FF7848" w:rsidRDefault="00C525E7">
      <w:r>
        <w:rPr>
          <w:rFonts w:ascii="Times New Roman" w:eastAsia="Times New Roman" w:hAnsi="Times New Roman" w:cs="Times New Roman"/>
          <w:i/>
        </w:rPr>
        <w:t>Collaborative Intervention Planning</w:t>
      </w:r>
      <w:r>
        <w:rPr>
          <w:rFonts w:ascii="Times New Roman" w:eastAsia="Times New Roman" w:hAnsi="Times New Roman" w:cs="Times New Roman"/>
          <w:i/>
          <w:vertAlign w:val="superscript"/>
        </w:rPr>
        <w:footnoteReference w:id="28"/>
      </w:r>
      <w:r>
        <w:rPr>
          <w:rFonts w:ascii="Times New Roman" w:eastAsia="Times New Roman" w:hAnsi="Times New Roman" w:cs="Times New Roman"/>
        </w:rPr>
        <w:t xml:space="preserve"> must be developmentally informed, and understood within the context of unique characteristics of services to infants, toddlers, preschoolers, school-age youth, and transition-age youth.</w:t>
      </w:r>
      <w:r>
        <w:rPr>
          <w:rFonts w:ascii="Times New Roman" w:eastAsia="Times New Roman" w:hAnsi="Times New Roman" w:cs="Times New Roman"/>
          <w:vertAlign w:val="superscript"/>
        </w:rPr>
        <w:footnoteReference w:id="29"/>
      </w:r>
      <w:r>
        <w:rPr>
          <w:rFonts w:ascii="Times New Roman" w:eastAsia="Times New Roman" w:hAnsi="Times New Roman" w:cs="Times New Roman"/>
        </w:rPr>
        <w:t xml:space="preserve">  Shared decision-making becomes complicated in medication management, and calls for </w:t>
      </w:r>
      <w:proofErr w:type="gramStart"/>
      <w:r>
        <w:rPr>
          <w:rFonts w:ascii="Times New Roman" w:eastAsia="Times New Roman" w:hAnsi="Times New Roman" w:cs="Times New Roman"/>
        </w:rPr>
        <w:t>a some</w:t>
      </w:r>
      <w:proofErr w:type="gramEnd"/>
      <w:r>
        <w:rPr>
          <w:rFonts w:ascii="Times New Roman" w:eastAsia="Times New Roman" w:hAnsi="Times New Roman" w:cs="Times New Roman"/>
        </w:rPr>
        <w:t xml:space="preserve"> thinking around medication from the practitioner’s perspective of “compliance”.  The therapeutic alliance supports long-term gains when clients’ preferences and decision-making processes are valued, as they learn how to use medications along with other coping strategies.</w:t>
      </w:r>
      <w:r>
        <w:rPr>
          <w:rFonts w:ascii="Times New Roman" w:eastAsia="Times New Roman" w:hAnsi="Times New Roman" w:cs="Times New Roman"/>
          <w:vertAlign w:val="superscript"/>
        </w:rPr>
        <w:footnoteReference w:id="30"/>
      </w:r>
      <w:r>
        <w:rPr>
          <w:rFonts w:ascii="Times New Roman" w:eastAsia="Times New Roman" w:hAnsi="Times New Roman" w:cs="Times New Roman"/>
        </w:rPr>
        <w:t xml:space="preserve">  </w:t>
      </w:r>
    </w:p>
    <w:p w14:paraId="1F2CD9CD" w14:textId="77777777" w:rsidR="00FF7848" w:rsidRDefault="00FF7848"/>
    <w:p w14:paraId="16AC5D80" w14:textId="77777777" w:rsidR="00CA75DC" w:rsidRDefault="00C525E7">
      <w:r>
        <w:rPr>
          <w:rFonts w:ascii="Times New Roman" w:eastAsia="Times New Roman" w:hAnsi="Times New Roman" w:cs="Times New Roman"/>
          <w:b/>
        </w:rPr>
        <w:t>Intensive Therapeutic Intervention</w:t>
      </w:r>
    </w:p>
    <w:p w14:paraId="6D8BAAAC" w14:textId="77777777" w:rsidR="00FF7848" w:rsidRDefault="00C525E7">
      <w:r>
        <w:rPr>
          <w:rFonts w:ascii="Times New Roman" w:eastAsia="Times New Roman" w:hAnsi="Times New Roman" w:cs="Times New Roman"/>
        </w:rPr>
        <w:t>The core component matrix emphasizes that the heart of In Home Therapy is the intensive therapeutic intervention</w:t>
      </w:r>
      <w:r>
        <w:rPr>
          <w:rFonts w:ascii="Times New Roman" w:eastAsia="Times New Roman" w:hAnsi="Times New Roman" w:cs="Times New Roman"/>
          <w:vertAlign w:val="superscript"/>
        </w:rPr>
        <w:footnoteReference w:id="31"/>
      </w:r>
      <w:r>
        <w:rPr>
          <w:rFonts w:ascii="Times New Roman" w:eastAsia="Times New Roman" w:hAnsi="Times New Roman" w:cs="Times New Roman"/>
        </w:rPr>
        <w:t xml:space="preserve"> that enhances the well-being of the child with behavioral health needs as well as the </w:t>
      </w:r>
      <w:r>
        <w:rPr>
          <w:rFonts w:ascii="Times New Roman" w:eastAsia="Times New Roman" w:hAnsi="Times New Roman" w:cs="Times New Roman"/>
        </w:rPr>
        <w:lastRenderedPageBreak/>
        <w:t>capacity of the caregivers to provide a safe and supportive environment for the child. The therapeutic intervention consists of strategies and actions that are most likely to heal, strengthen, and last.  High quality interventions make every meeting count with specific purposes for each session, plans for conducting sessions, clear correlation between the session plan and the goals established in the treatment plan, and actions to practice between sessions. Intensive therapeutic interventions use strengths in real and tangible ways to address needs. Family reports of both improvements and setbacks directly inform next steps as do collateral perspectives and direct observation by the IHT team.  Therapeutic intervention is a live process that responds to changes in the family’s treatment needs, including possibilities for higher as well as lower levels of intensity. IHT models may effectively use evidence-based practices</w:t>
      </w:r>
      <w:r>
        <w:rPr>
          <w:rFonts w:ascii="Times New Roman" w:eastAsia="Times New Roman" w:hAnsi="Times New Roman" w:cs="Times New Roman"/>
          <w:vertAlign w:val="superscript"/>
        </w:rPr>
        <w:footnoteReference w:id="32"/>
      </w:r>
      <w:r>
        <w:rPr>
          <w:rFonts w:ascii="Times New Roman" w:eastAsia="Times New Roman" w:hAnsi="Times New Roman" w:cs="Times New Roman"/>
        </w:rPr>
        <w:t xml:space="preserve"> as well as practice-based evidence</w:t>
      </w:r>
      <w:r>
        <w:rPr>
          <w:rFonts w:ascii="Times New Roman" w:eastAsia="Times New Roman" w:hAnsi="Times New Roman" w:cs="Times New Roman"/>
          <w:vertAlign w:val="superscript"/>
        </w:rPr>
        <w:footnoteReference w:id="33"/>
      </w:r>
      <w:r>
        <w:rPr>
          <w:rFonts w:ascii="Times New Roman" w:eastAsia="Times New Roman" w:hAnsi="Times New Roman" w:cs="Times New Roman"/>
        </w:rPr>
        <w:t xml:space="preserve"> in developing interventions.  </w:t>
      </w:r>
    </w:p>
    <w:p w14:paraId="221F8B03" w14:textId="77777777" w:rsidR="00FF7848" w:rsidRDefault="00FF7848"/>
    <w:p w14:paraId="2F24B5C0" w14:textId="77777777" w:rsidR="00FF7848" w:rsidRDefault="00C525E7">
      <w:r>
        <w:rPr>
          <w:rFonts w:ascii="Times New Roman" w:eastAsia="Times New Roman" w:hAnsi="Times New Roman" w:cs="Times New Roman"/>
        </w:rPr>
        <w:t>When planning the intervention strategy, consider the appropriate intensity of services and potential concerns for each treatment option (contraindications) such dangerous situations, acute medical conditions, or repeated negative outcomes of the family’s prior experiences with similar treatment</w:t>
      </w:r>
      <w:r>
        <w:rPr>
          <w:rFonts w:ascii="Times New Roman" w:eastAsia="Times New Roman" w:hAnsi="Times New Roman" w:cs="Times New Roman"/>
          <w:vertAlign w:val="superscript"/>
        </w:rPr>
        <w:footnoteReference w:id="34"/>
      </w:r>
      <w:r>
        <w:rPr>
          <w:rFonts w:ascii="Times New Roman" w:eastAsia="Times New Roman" w:hAnsi="Times New Roman" w:cs="Times New Roman"/>
        </w:rPr>
        <w:t>.  One of the anticipated downsides of EBT’s was researched, and showed that the use of manual-guided intervention did not harm the therapeutic alliance between the therapist and youth.</w:t>
      </w:r>
      <w:r>
        <w:rPr>
          <w:rFonts w:ascii="Times New Roman" w:eastAsia="Times New Roman" w:hAnsi="Times New Roman" w:cs="Times New Roman"/>
          <w:vertAlign w:val="superscript"/>
        </w:rPr>
        <w:footnoteReference w:id="35"/>
      </w:r>
      <w:r>
        <w:rPr>
          <w:rFonts w:ascii="Times New Roman" w:eastAsia="Times New Roman" w:hAnsi="Times New Roman" w:cs="Times New Roman"/>
        </w:rPr>
        <w:t xml:space="preserve">  Consider how psychotropic medications integrate within the intervention technique(s), and how the use, prescriptions, or dosages of medications may change during the sequential stages of treatment.</w:t>
      </w:r>
      <w:r>
        <w:rPr>
          <w:rFonts w:ascii="Times New Roman" w:eastAsia="Times New Roman" w:hAnsi="Times New Roman" w:cs="Times New Roman"/>
          <w:vertAlign w:val="superscript"/>
        </w:rPr>
        <w:footnoteReference w:id="36"/>
      </w:r>
      <w:r>
        <w:rPr>
          <w:rFonts w:ascii="Times New Roman" w:eastAsia="Times New Roman" w:hAnsi="Times New Roman" w:cs="Times New Roman"/>
        </w:rPr>
        <w:t xml:space="preserve">  </w:t>
      </w:r>
    </w:p>
    <w:p w14:paraId="2E5D616A" w14:textId="77777777" w:rsidR="00FF7848" w:rsidRDefault="00FF7848"/>
    <w:p w14:paraId="4F6EF11B" w14:textId="77777777" w:rsidR="00FF7848" w:rsidRDefault="00C525E7">
      <w:r>
        <w:rPr>
          <w:rFonts w:ascii="Times New Roman" w:eastAsia="Times New Roman" w:hAnsi="Times New Roman" w:cs="Times New Roman"/>
        </w:rPr>
        <w:t>Parenting tasks and mental health challenges are related to child development phases and strategies for engagement, assessment, and clinical strategies for infant, toddler, and preschool children</w:t>
      </w:r>
      <w:r>
        <w:rPr>
          <w:rFonts w:ascii="Times New Roman" w:eastAsia="Times New Roman" w:hAnsi="Times New Roman" w:cs="Times New Roman"/>
          <w:vertAlign w:val="superscript"/>
        </w:rPr>
        <w:footnoteReference w:id="37"/>
      </w:r>
      <w:r>
        <w:rPr>
          <w:rFonts w:ascii="Times New Roman" w:eastAsia="Times New Roman" w:hAnsi="Times New Roman" w:cs="Times New Roman"/>
        </w:rPr>
        <w:t>.  Clinical strategies must also be considered for children with difficult temperaments</w:t>
      </w:r>
      <w:r>
        <w:rPr>
          <w:rFonts w:ascii="Times New Roman" w:eastAsia="Times New Roman" w:hAnsi="Times New Roman" w:cs="Times New Roman"/>
          <w:vertAlign w:val="superscript"/>
        </w:rPr>
        <w:footnoteReference w:id="38"/>
      </w:r>
      <w:r>
        <w:rPr>
          <w:rFonts w:ascii="Times New Roman" w:eastAsia="Times New Roman" w:hAnsi="Times New Roman" w:cs="Times New Roman"/>
        </w:rPr>
        <w:t>, children who are having difficulty regulating physical and emotional experiences</w:t>
      </w:r>
      <w:r>
        <w:rPr>
          <w:rFonts w:ascii="Times New Roman" w:eastAsia="Times New Roman" w:hAnsi="Times New Roman" w:cs="Times New Roman"/>
          <w:vertAlign w:val="superscript"/>
        </w:rPr>
        <w:footnoteReference w:id="39"/>
      </w:r>
      <w:r>
        <w:rPr>
          <w:rFonts w:ascii="Times New Roman" w:eastAsia="Times New Roman" w:hAnsi="Times New Roman" w:cs="Times New Roman"/>
        </w:rPr>
        <w:t>, difficulty forming attachments</w:t>
      </w:r>
      <w:r>
        <w:rPr>
          <w:rFonts w:ascii="Times New Roman" w:eastAsia="Times New Roman" w:hAnsi="Times New Roman" w:cs="Times New Roman"/>
          <w:vertAlign w:val="superscript"/>
        </w:rPr>
        <w:footnoteReference w:id="40"/>
      </w:r>
      <w:r>
        <w:rPr>
          <w:rFonts w:ascii="Times New Roman" w:eastAsia="Times New Roman" w:hAnsi="Times New Roman" w:cs="Times New Roman"/>
        </w:rPr>
        <w:t>, and for children with particular diagnoses, such as ADHD</w:t>
      </w:r>
      <w:r>
        <w:rPr>
          <w:rFonts w:ascii="Times New Roman" w:eastAsia="Times New Roman" w:hAnsi="Times New Roman" w:cs="Times New Roman"/>
          <w:vertAlign w:val="superscript"/>
        </w:rPr>
        <w:footnoteReference w:id="41"/>
      </w:r>
      <w:r>
        <w:rPr>
          <w:rFonts w:ascii="Times New Roman" w:eastAsia="Times New Roman" w:hAnsi="Times New Roman" w:cs="Times New Roman"/>
        </w:rPr>
        <w:t>, mood disorders</w:t>
      </w:r>
      <w:r>
        <w:rPr>
          <w:rFonts w:ascii="Times New Roman" w:eastAsia="Times New Roman" w:hAnsi="Times New Roman" w:cs="Times New Roman"/>
          <w:vertAlign w:val="superscript"/>
        </w:rPr>
        <w:footnoteReference w:id="42"/>
      </w:r>
      <w:r>
        <w:rPr>
          <w:rFonts w:ascii="Times New Roman" w:eastAsia="Times New Roman" w:hAnsi="Times New Roman" w:cs="Times New Roman"/>
        </w:rPr>
        <w:t>, sensory processing challenges</w:t>
      </w:r>
      <w:r>
        <w:rPr>
          <w:rFonts w:ascii="Times New Roman" w:eastAsia="Times New Roman" w:hAnsi="Times New Roman" w:cs="Times New Roman"/>
          <w:vertAlign w:val="superscript"/>
        </w:rPr>
        <w:footnoteReference w:id="43"/>
      </w:r>
      <w:r>
        <w:rPr>
          <w:rFonts w:ascii="Times New Roman" w:eastAsia="Times New Roman" w:hAnsi="Times New Roman" w:cs="Times New Roman"/>
        </w:rPr>
        <w:t>, attachment and traumatized children</w:t>
      </w:r>
      <w:r>
        <w:rPr>
          <w:rFonts w:ascii="Times New Roman" w:eastAsia="Times New Roman" w:hAnsi="Times New Roman" w:cs="Times New Roman"/>
          <w:vertAlign w:val="superscript"/>
        </w:rPr>
        <w:footnoteReference w:id="44"/>
      </w:r>
      <w:r>
        <w:rPr>
          <w:rFonts w:ascii="Times New Roman" w:eastAsia="Times New Roman" w:hAnsi="Times New Roman" w:cs="Times New Roman"/>
        </w:rPr>
        <w:t>.  Parental issues of substance abuse and parental mental health</w:t>
      </w:r>
      <w:r>
        <w:rPr>
          <w:rFonts w:ascii="Times New Roman" w:eastAsia="Times New Roman" w:hAnsi="Times New Roman" w:cs="Times New Roman"/>
          <w:vertAlign w:val="superscript"/>
        </w:rPr>
        <w:footnoteReference w:id="45"/>
      </w:r>
      <w:r>
        <w:rPr>
          <w:rFonts w:ascii="Times New Roman" w:eastAsia="Times New Roman" w:hAnsi="Times New Roman" w:cs="Times New Roman"/>
        </w:rPr>
        <w:t xml:space="preserve"> impacts on family functioning and must be incorporated into adaptations of the ongoing intervention.  Tools and documents used in the clinical process of assessing and treatment planning, such as the CANS</w:t>
      </w:r>
      <w:r>
        <w:rPr>
          <w:rFonts w:ascii="Times New Roman" w:eastAsia="Times New Roman" w:hAnsi="Times New Roman" w:cs="Times New Roman"/>
          <w:vertAlign w:val="superscript"/>
        </w:rPr>
        <w:footnoteReference w:id="46"/>
      </w:r>
      <w:r>
        <w:rPr>
          <w:rFonts w:ascii="Times New Roman" w:eastAsia="Times New Roman" w:hAnsi="Times New Roman" w:cs="Times New Roman"/>
        </w:rPr>
        <w:t xml:space="preserve"> </w:t>
      </w:r>
      <w:r>
        <w:rPr>
          <w:rFonts w:ascii="Times New Roman" w:eastAsia="Times New Roman" w:hAnsi="Times New Roman" w:cs="Times New Roman"/>
        </w:rPr>
        <w:lastRenderedPageBreak/>
        <w:t>and Treatment Plan</w:t>
      </w:r>
      <w:r>
        <w:rPr>
          <w:rFonts w:ascii="Times New Roman" w:eastAsia="Times New Roman" w:hAnsi="Times New Roman" w:cs="Times New Roman"/>
          <w:vertAlign w:val="superscript"/>
        </w:rPr>
        <w:footnoteReference w:id="47"/>
      </w:r>
      <w:r>
        <w:rPr>
          <w:rFonts w:ascii="Times New Roman" w:eastAsia="Times New Roman" w:hAnsi="Times New Roman" w:cs="Times New Roman"/>
        </w:rPr>
        <w:t xml:space="preserve"> can also be used to support effective communication with families and aid in shared decision-making. </w:t>
      </w:r>
    </w:p>
    <w:p w14:paraId="6E246B3A" w14:textId="77777777" w:rsidR="00FF7848" w:rsidRDefault="00FF7848"/>
    <w:p w14:paraId="063288C9" w14:textId="77777777" w:rsidR="00FF7848" w:rsidRDefault="00C525E7">
      <w:r>
        <w:rPr>
          <w:rFonts w:ascii="Times New Roman" w:eastAsia="Times New Roman" w:hAnsi="Times New Roman" w:cs="Times New Roman"/>
          <w:b/>
        </w:rPr>
        <w:t>Care Coordination and Collaboration</w:t>
      </w:r>
    </w:p>
    <w:p w14:paraId="5BB62C1C" w14:textId="77777777" w:rsidR="00FF7848" w:rsidRDefault="00C525E7">
      <w:r>
        <w:rPr>
          <w:rFonts w:ascii="Times New Roman" w:eastAsia="Times New Roman" w:hAnsi="Times New Roman" w:cs="Times New Roman"/>
        </w:rPr>
        <w:t>The multiple perspectives of the child, family, school, community, and service providers come together in care coordination and collaboration.  These perspectives help to develop the fullest picture of the strengths and challenges of the child and family, which also provides the context for how the IHT provider can accurately understand the priorities, work with the participants to set expectations, negotiate the decisions, sequences, and determine the most beneficial ways of helping.  There are often competing demands in the family.  Simultaneously attending to needs of the children and caregivers’ challenges when there are issues of adult mental health, substance abuse, intellectual disabilities, and teen parents is important for the purpose of strengthening attachment relationships and a supporting higher family functioning</w:t>
      </w:r>
      <w:r>
        <w:rPr>
          <w:rFonts w:ascii="Times New Roman" w:eastAsia="Times New Roman" w:hAnsi="Times New Roman" w:cs="Times New Roman"/>
          <w:vertAlign w:val="superscript"/>
        </w:rPr>
        <w:footnoteReference w:id="48"/>
      </w:r>
      <w:r>
        <w:rPr>
          <w:rFonts w:ascii="Times New Roman" w:eastAsia="Times New Roman" w:hAnsi="Times New Roman" w:cs="Times New Roman"/>
        </w:rPr>
        <w:t>.  Children with serious emotional disturbance much lower graduation rates than statewide averages of all children, such as in North Carolina where the rate compared 42% to 76%</w:t>
      </w:r>
      <w:r>
        <w:rPr>
          <w:rFonts w:ascii="Times New Roman" w:eastAsia="Times New Roman" w:hAnsi="Times New Roman" w:cs="Times New Roman"/>
          <w:vertAlign w:val="superscript"/>
        </w:rPr>
        <w:footnoteReference w:id="49"/>
      </w:r>
      <w:r>
        <w:rPr>
          <w:rFonts w:ascii="Times New Roman" w:eastAsia="Times New Roman" w:hAnsi="Times New Roman" w:cs="Times New Roman"/>
        </w:rPr>
        <w:t>.  The study indicates the need to keep academic progress in view during collaborative meetings, as those efforts have present day implications for learning, grades, and severity of behavior problems at school but also future graduation rates, employability and life earnings.</w:t>
      </w:r>
    </w:p>
    <w:p w14:paraId="76C704A3" w14:textId="77777777" w:rsidR="00FF7848" w:rsidRDefault="00FF7848"/>
    <w:p w14:paraId="4C09D295" w14:textId="77777777" w:rsidR="00FF7848" w:rsidRDefault="00C525E7">
      <w:r>
        <w:rPr>
          <w:rFonts w:ascii="Times New Roman" w:eastAsia="Times New Roman" w:hAnsi="Times New Roman" w:cs="Times New Roman"/>
          <w:b/>
        </w:rPr>
        <w:t>Engaging Natural Supports and Community Resources</w:t>
      </w:r>
    </w:p>
    <w:p w14:paraId="2FE0713A" w14:textId="77777777" w:rsidR="00FF7848" w:rsidRDefault="00C525E7">
      <w:r>
        <w:rPr>
          <w:rFonts w:ascii="Times New Roman" w:eastAsia="Times New Roman" w:hAnsi="Times New Roman" w:cs="Times New Roman"/>
          <w:i/>
        </w:rPr>
        <w:t>Engaging natural supports</w:t>
      </w:r>
      <w:r>
        <w:rPr>
          <w:rFonts w:ascii="Times New Roman" w:eastAsia="Times New Roman" w:hAnsi="Times New Roman" w:cs="Times New Roman"/>
          <w:i/>
          <w:vertAlign w:val="superscript"/>
        </w:rPr>
        <w:footnoteReference w:id="50"/>
      </w:r>
      <w:r>
        <w:rPr>
          <w:rFonts w:ascii="Times New Roman" w:eastAsia="Times New Roman" w:hAnsi="Times New Roman" w:cs="Times New Roman"/>
        </w:rPr>
        <w:t xml:space="preserve"> is highly valued; however, more attention must be given to the tasks, time, and follow through of doing so.  The research shows that the actual use of natural supports in systems of care requires further development.</w:t>
      </w:r>
      <w:r>
        <w:rPr>
          <w:rFonts w:ascii="Times New Roman" w:eastAsia="Times New Roman" w:hAnsi="Times New Roman" w:cs="Times New Roman"/>
          <w:vertAlign w:val="superscript"/>
        </w:rPr>
        <w:footnoteReference w:id="51"/>
      </w:r>
      <w:r>
        <w:rPr>
          <w:rFonts w:ascii="Times New Roman" w:eastAsia="Times New Roman" w:hAnsi="Times New Roman" w:cs="Times New Roman"/>
        </w:rPr>
        <w:t xml:space="preserve"> How, by what means, can clinicians connect families in stronger ways to 8 types of potential sources of support studied:  neighbors, friends, spouse or partner, family service providers, faith community, family support groups or organizations, and coworkers.  A study of rural youth looked at their help-seeking behavior and the likelihood of engaging natural supports on their own.  The study described gender differences and patterns depending on what types of problems they were experiencing and the severity of their problems.  It is not surprising that as they got older, they chose friends as their first choice for help and less likely to choose family members.</w:t>
      </w:r>
      <w:r>
        <w:rPr>
          <w:rFonts w:ascii="Times New Roman" w:eastAsia="Times New Roman" w:hAnsi="Times New Roman" w:cs="Times New Roman"/>
          <w:vertAlign w:val="superscript"/>
        </w:rPr>
        <w:footnoteReference w:id="52"/>
      </w:r>
      <w:r>
        <w:rPr>
          <w:rFonts w:ascii="Times New Roman" w:eastAsia="Times New Roman" w:hAnsi="Times New Roman" w:cs="Times New Roman"/>
        </w:rPr>
        <w:t xml:space="preserve"> </w:t>
      </w:r>
    </w:p>
    <w:p w14:paraId="50648267" w14:textId="77777777" w:rsidR="00FF7848" w:rsidRDefault="00FF7848"/>
    <w:p w14:paraId="3AEB9C6F" w14:textId="77777777" w:rsidR="00FF7848" w:rsidRDefault="009529F5">
      <w:r>
        <w:rPr>
          <w:rFonts w:ascii="Times New Roman" w:eastAsia="Times New Roman" w:hAnsi="Times New Roman" w:cs="Times New Roman"/>
          <w:b/>
        </w:rPr>
        <w:t>Preparing</w:t>
      </w:r>
      <w:r w:rsidR="00C525E7">
        <w:rPr>
          <w:rFonts w:ascii="Times New Roman" w:eastAsia="Times New Roman" w:hAnsi="Times New Roman" w:cs="Times New Roman"/>
          <w:b/>
        </w:rPr>
        <w:t xml:space="preserve"> for Exit</w:t>
      </w:r>
    </w:p>
    <w:p w14:paraId="7BDD2131" w14:textId="77777777" w:rsidR="00FF7848" w:rsidRDefault="00C525E7">
      <w:r>
        <w:rPr>
          <w:rFonts w:ascii="Times New Roman" w:eastAsia="Times New Roman" w:hAnsi="Times New Roman" w:cs="Times New Roman"/>
        </w:rPr>
        <w:t>Preparation to discharge</w:t>
      </w:r>
      <w:r>
        <w:rPr>
          <w:rFonts w:ascii="Times New Roman" w:eastAsia="Times New Roman" w:hAnsi="Times New Roman" w:cs="Times New Roman"/>
          <w:vertAlign w:val="superscript"/>
        </w:rPr>
        <w:footnoteReference w:id="53"/>
      </w:r>
      <w:r>
        <w:rPr>
          <w:rFonts w:ascii="Times New Roman" w:eastAsia="Times New Roman" w:hAnsi="Times New Roman" w:cs="Times New Roman"/>
        </w:rPr>
        <w:t xml:space="preserve"> as a process is described in selected chapters of reference books.  Some studies have discovered patterns of unexpected exits from services</w:t>
      </w:r>
      <w:r>
        <w:rPr>
          <w:rFonts w:ascii="Times New Roman" w:eastAsia="Times New Roman" w:hAnsi="Times New Roman" w:cs="Times New Roman"/>
          <w:vertAlign w:val="superscript"/>
        </w:rPr>
        <w:footnoteReference w:id="54"/>
      </w:r>
      <w:r>
        <w:rPr>
          <w:rFonts w:ascii="Times New Roman" w:eastAsia="Times New Roman" w:hAnsi="Times New Roman" w:cs="Times New Roman"/>
        </w:rPr>
        <w:t xml:space="preserve">, and the research topic of preparation for change (accessibility to supportive relationships that will continue, maintaining skills and progress, planning for crisis after the transition, and future focuses) primarily focuses on discharges from hospital </w:t>
      </w:r>
      <w:r>
        <w:rPr>
          <w:rFonts w:ascii="Times New Roman" w:eastAsia="Times New Roman" w:hAnsi="Times New Roman" w:cs="Times New Roman"/>
        </w:rPr>
        <w:lastRenderedPageBreak/>
        <w:t xml:space="preserve">and residential settings.  The existing research in other child mental health settings examines family members’ involvement in the transition plan, perceived readiness,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need for ongoing supports.  One study discovered an unexpectedly low priority on mental health (ranked by parents and youth).  Youth and parents ranked supports and services related to community involvement, family, and independent living as more important, expanding the topics beyond their immediate needs.</w:t>
      </w:r>
      <w:r>
        <w:rPr>
          <w:rFonts w:ascii="Times New Roman" w:eastAsia="Times New Roman" w:hAnsi="Times New Roman" w:cs="Times New Roman"/>
          <w:vertAlign w:val="superscript"/>
        </w:rPr>
        <w:footnoteReference w:id="55"/>
      </w:r>
      <w:r>
        <w:rPr>
          <w:rFonts w:ascii="Times New Roman" w:eastAsia="Times New Roman" w:hAnsi="Times New Roman" w:cs="Times New Roman"/>
        </w:rPr>
        <w:t xml:space="preserve"> Another set of research studies focuses on transitions to adulthood, which may coincide with age eligibility and exit from treatment or entire service systems</w:t>
      </w:r>
      <w:r>
        <w:rPr>
          <w:rFonts w:ascii="Times New Roman" w:eastAsia="Times New Roman" w:hAnsi="Times New Roman" w:cs="Times New Roman"/>
          <w:vertAlign w:val="superscript"/>
        </w:rPr>
        <w:footnoteReference w:id="56"/>
      </w:r>
      <w:r>
        <w:rPr>
          <w:rFonts w:ascii="Times New Roman" w:eastAsia="Times New Roman" w:hAnsi="Times New Roman" w:cs="Times New Roman"/>
        </w:rPr>
        <w:t xml:space="preserve">.     </w:t>
      </w:r>
    </w:p>
    <w:p w14:paraId="6D4F50F4" w14:textId="77777777" w:rsidR="00FF7848" w:rsidRDefault="00FF7848"/>
    <w:p w14:paraId="16E1A019" w14:textId="77777777" w:rsidR="00FF7848" w:rsidRDefault="00FF7848"/>
    <w:sectPr w:rsidR="00FF7848">
      <w:headerReference w:type="default" r:id="rId8"/>
      <w:pgSz w:w="12240" w:h="15840"/>
      <w:pgMar w:top="1440" w:right="1440" w:bottom="1440" w:left="1440" w:header="720" w:footer="720" w:gutter="0"/>
      <w:pgNumType w:start="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EB748" w14:textId="77777777" w:rsidR="00CA75DC" w:rsidRDefault="00CA75DC">
      <w:pPr>
        <w:spacing w:line="240" w:lineRule="auto"/>
      </w:pPr>
      <w:r>
        <w:separator/>
      </w:r>
    </w:p>
  </w:endnote>
  <w:endnote w:type="continuationSeparator" w:id="0">
    <w:p w14:paraId="6B8D060C" w14:textId="77777777" w:rsidR="00CA75DC" w:rsidRDefault="00CA75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79182" w14:textId="77777777" w:rsidR="00CA75DC" w:rsidRDefault="00CA75DC">
      <w:pPr>
        <w:spacing w:line="240" w:lineRule="auto"/>
      </w:pPr>
      <w:r>
        <w:separator/>
      </w:r>
    </w:p>
  </w:footnote>
  <w:footnote w:type="continuationSeparator" w:id="0">
    <w:p w14:paraId="0D9167AF" w14:textId="77777777" w:rsidR="00CA75DC" w:rsidRDefault="00CA75DC">
      <w:pPr>
        <w:spacing w:line="240" w:lineRule="auto"/>
      </w:pPr>
      <w:r>
        <w:continuationSeparator/>
      </w:r>
    </w:p>
  </w:footnote>
  <w:footnote w:id="1">
    <w:p w14:paraId="4EF35D0F" w14:textId="77777777" w:rsidR="00CA75DC" w:rsidRPr="00CA75DC" w:rsidRDefault="00CA75DC">
      <w:pPr>
        <w:spacing w:line="240" w:lineRule="auto"/>
        <w:rPr>
          <w:sz w:val="20"/>
          <w:szCs w:val="20"/>
        </w:rPr>
      </w:pPr>
      <w:r w:rsidRPr="00CA75DC">
        <w:rPr>
          <w:sz w:val="20"/>
          <w:szCs w:val="20"/>
          <w:vertAlign w:val="superscript"/>
        </w:rPr>
        <w:footnoteRef/>
      </w:r>
      <w:r w:rsidRPr="00CA75DC">
        <w:rPr>
          <w:color w:val="0000FF"/>
          <w:sz w:val="20"/>
          <w:szCs w:val="20"/>
        </w:rPr>
        <w:t xml:space="preserve"> </w:t>
      </w:r>
      <w:r w:rsidRPr="00CA75DC">
        <w:rPr>
          <w:sz w:val="20"/>
          <w:szCs w:val="20"/>
        </w:rPr>
        <w:t>Overview of cultural relevance (Hepworth, Rooney, Strom-Gottfried, Larsen, 2013, chapter chapters 8, 10); related to serving young children (Cornett, 2014, chapter 18)</w:t>
      </w:r>
    </w:p>
  </w:footnote>
  <w:footnote w:id="2">
    <w:p w14:paraId="6945D613" w14:textId="77777777" w:rsidR="00CA75DC" w:rsidRPr="00CA75DC" w:rsidRDefault="00CA75DC">
      <w:pPr>
        <w:spacing w:line="240" w:lineRule="auto"/>
        <w:rPr>
          <w:sz w:val="20"/>
          <w:szCs w:val="20"/>
        </w:rPr>
      </w:pPr>
      <w:r w:rsidRPr="00CA75DC">
        <w:rPr>
          <w:sz w:val="20"/>
          <w:szCs w:val="20"/>
          <w:vertAlign w:val="superscript"/>
        </w:rPr>
        <w:footnoteRef/>
      </w:r>
      <w:r w:rsidRPr="00CA75DC">
        <w:rPr>
          <w:sz w:val="20"/>
          <w:szCs w:val="20"/>
        </w:rPr>
        <w:t xml:space="preserve"> Cultural and contextual resilience (Unger, 2005)</w:t>
      </w:r>
    </w:p>
  </w:footnote>
  <w:footnote w:id="3">
    <w:p w14:paraId="373277A3" w14:textId="77777777" w:rsidR="00CA75DC" w:rsidRPr="00CA75DC" w:rsidRDefault="00CA75DC">
      <w:pPr>
        <w:spacing w:line="240" w:lineRule="auto"/>
        <w:rPr>
          <w:sz w:val="20"/>
          <w:szCs w:val="20"/>
        </w:rPr>
      </w:pPr>
      <w:r w:rsidRPr="00CA75DC">
        <w:rPr>
          <w:sz w:val="20"/>
          <w:szCs w:val="20"/>
          <w:vertAlign w:val="superscript"/>
        </w:rPr>
        <w:footnoteRef/>
      </w:r>
      <w:r w:rsidRPr="00CA75DC">
        <w:rPr>
          <w:sz w:val="20"/>
          <w:szCs w:val="20"/>
        </w:rPr>
        <w:t xml:space="preserve"> Ethnic differences in parental beliefs about ADHD and treatment (Pham, Carlson, </w:t>
      </w:r>
      <w:proofErr w:type="spellStart"/>
      <w:r w:rsidRPr="00CA75DC">
        <w:rPr>
          <w:sz w:val="20"/>
          <w:szCs w:val="20"/>
        </w:rPr>
        <w:t>Kosciulek</w:t>
      </w:r>
      <w:proofErr w:type="spellEnd"/>
      <w:r w:rsidRPr="00CA75DC">
        <w:rPr>
          <w:sz w:val="20"/>
          <w:szCs w:val="20"/>
        </w:rPr>
        <w:t>, 2010)</w:t>
      </w:r>
    </w:p>
  </w:footnote>
  <w:footnote w:id="4">
    <w:p w14:paraId="26246ECD" w14:textId="77777777" w:rsidR="00CA75DC" w:rsidRPr="00CA75DC" w:rsidRDefault="00CA75DC">
      <w:pPr>
        <w:spacing w:line="240" w:lineRule="auto"/>
        <w:rPr>
          <w:sz w:val="20"/>
          <w:szCs w:val="20"/>
        </w:rPr>
      </w:pPr>
      <w:r w:rsidRPr="00CA75DC">
        <w:rPr>
          <w:sz w:val="20"/>
          <w:szCs w:val="20"/>
          <w:vertAlign w:val="superscript"/>
        </w:rPr>
        <w:footnoteRef/>
      </w:r>
      <w:r w:rsidRPr="00CA75DC">
        <w:rPr>
          <w:sz w:val="20"/>
          <w:szCs w:val="20"/>
        </w:rPr>
        <w:t xml:space="preserve"> Culturally specific interventions and strategies (</w:t>
      </w:r>
      <w:proofErr w:type="spellStart"/>
      <w:r w:rsidRPr="00CA75DC">
        <w:rPr>
          <w:sz w:val="20"/>
          <w:szCs w:val="20"/>
        </w:rPr>
        <w:t>Bains</w:t>
      </w:r>
      <w:proofErr w:type="spellEnd"/>
      <w:r w:rsidRPr="00CA75DC">
        <w:rPr>
          <w:sz w:val="20"/>
          <w:szCs w:val="20"/>
        </w:rPr>
        <w:t xml:space="preserve">, 2014; </w:t>
      </w:r>
      <w:proofErr w:type="spellStart"/>
      <w:r w:rsidRPr="00CA75DC">
        <w:rPr>
          <w:sz w:val="20"/>
          <w:szCs w:val="20"/>
        </w:rPr>
        <w:t>Santisteban</w:t>
      </w:r>
      <w:proofErr w:type="spellEnd"/>
      <w:r w:rsidRPr="00CA75DC">
        <w:rPr>
          <w:sz w:val="20"/>
          <w:szCs w:val="20"/>
        </w:rPr>
        <w:t xml:space="preserve">, Mena, </w:t>
      </w:r>
      <w:proofErr w:type="spellStart"/>
      <w:r w:rsidRPr="00CA75DC">
        <w:rPr>
          <w:sz w:val="20"/>
          <w:szCs w:val="20"/>
        </w:rPr>
        <w:t>Abalo</w:t>
      </w:r>
      <w:proofErr w:type="spellEnd"/>
      <w:r w:rsidRPr="00CA75DC">
        <w:rPr>
          <w:sz w:val="20"/>
          <w:szCs w:val="20"/>
        </w:rPr>
        <w:t xml:space="preserve">, 2012; Robbins, </w:t>
      </w:r>
      <w:proofErr w:type="spellStart"/>
      <w:r w:rsidRPr="00CA75DC">
        <w:rPr>
          <w:sz w:val="20"/>
          <w:szCs w:val="20"/>
        </w:rPr>
        <w:t>Szapocznik</w:t>
      </w:r>
      <w:proofErr w:type="spellEnd"/>
      <w:r w:rsidRPr="00CA75DC">
        <w:rPr>
          <w:sz w:val="20"/>
          <w:szCs w:val="20"/>
        </w:rPr>
        <w:t xml:space="preserve">, Dillon, Turner, </w:t>
      </w:r>
      <w:proofErr w:type="spellStart"/>
      <w:r w:rsidRPr="00CA75DC">
        <w:rPr>
          <w:sz w:val="20"/>
          <w:szCs w:val="20"/>
        </w:rPr>
        <w:t>Mitrani</w:t>
      </w:r>
      <w:proofErr w:type="spellEnd"/>
      <w:r w:rsidRPr="00CA75DC">
        <w:rPr>
          <w:sz w:val="20"/>
          <w:szCs w:val="20"/>
        </w:rPr>
        <w:t>, Feaster, 2008; Liddle, Jackson-</w:t>
      </w:r>
      <w:proofErr w:type="spellStart"/>
      <w:r w:rsidRPr="00CA75DC">
        <w:rPr>
          <w:sz w:val="20"/>
          <w:szCs w:val="20"/>
        </w:rPr>
        <w:t>Gilfort</w:t>
      </w:r>
      <w:proofErr w:type="spellEnd"/>
      <w:r w:rsidRPr="00CA75DC">
        <w:rPr>
          <w:sz w:val="20"/>
          <w:szCs w:val="20"/>
        </w:rPr>
        <w:t xml:space="preserve">, Marvel, 2006; </w:t>
      </w:r>
      <w:proofErr w:type="spellStart"/>
      <w:r w:rsidRPr="00CA75DC">
        <w:rPr>
          <w:sz w:val="20"/>
          <w:szCs w:val="20"/>
        </w:rPr>
        <w:t>Sanisteban</w:t>
      </w:r>
      <w:proofErr w:type="spellEnd"/>
      <w:r w:rsidRPr="00CA75DC">
        <w:rPr>
          <w:sz w:val="20"/>
          <w:szCs w:val="20"/>
        </w:rPr>
        <w:t xml:space="preserve"> and Mena, 2009)</w:t>
      </w:r>
    </w:p>
  </w:footnote>
  <w:footnote w:id="5">
    <w:p w14:paraId="5EBB65FE" w14:textId="77777777" w:rsidR="00CA75DC" w:rsidRPr="00CA75DC" w:rsidRDefault="00CA75DC">
      <w:pPr>
        <w:spacing w:line="240" w:lineRule="auto"/>
        <w:rPr>
          <w:sz w:val="20"/>
          <w:szCs w:val="20"/>
        </w:rPr>
      </w:pPr>
      <w:r w:rsidRPr="00CA75DC">
        <w:rPr>
          <w:sz w:val="20"/>
          <w:szCs w:val="20"/>
          <w:vertAlign w:val="superscript"/>
        </w:rPr>
        <w:footnoteRef/>
      </w:r>
      <w:r w:rsidRPr="00CA75DC">
        <w:rPr>
          <w:sz w:val="20"/>
          <w:szCs w:val="20"/>
        </w:rPr>
        <w:t xml:space="preserve"> Immigration-related separations (</w:t>
      </w:r>
      <w:proofErr w:type="spellStart"/>
      <w:r w:rsidRPr="00CA75DC">
        <w:rPr>
          <w:sz w:val="20"/>
          <w:szCs w:val="20"/>
        </w:rPr>
        <w:t>Mitriani</w:t>
      </w:r>
      <w:proofErr w:type="spellEnd"/>
      <w:r w:rsidRPr="00CA75DC">
        <w:rPr>
          <w:sz w:val="20"/>
          <w:szCs w:val="20"/>
        </w:rPr>
        <w:t xml:space="preserve"> </w:t>
      </w:r>
      <w:proofErr w:type="spellStart"/>
      <w:r w:rsidRPr="00CA75DC">
        <w:rPr>
          <w:sz w:val="20"/>
          <w:szCs w:val="20"/>
        </w:rPr>
        <w:t>Sanisteban</w:t>
      </w:r>
      <w:proofErr w:type="spellEnd"/>
      <w:r w:rsidRPr="00CA75DC">
        <w:rPr>
          <w:sz w:val="20"/>
          <w:szCs w:val="20"/>
        </w:rPr>
        <w:t>, Muir, 2004)</w:t>
      </w:r>
    </w:p>
  </w:footnote>
  <w:footnote w:id="6">
    <w:p w14:paraId="5644B1F7" w14:textId="77777777" w:rsidR="00CA75DC" w:rsidRPr="00CA75DC" w:rsidRDefault="00CA75DC">
      <w:pPr>
        <w:spacing w:line="240" w:lineRule="auto"/>
        <w:rPr>
          <w:sz w:val="20"/>
          <w:szCs w:val="20"/>
        </w:rPr>
      </w:pPr>
      <w:r w:rsidRPr="00CA75DC">
        <w:rPr>
          <w:sz w:val="20"/>
          <w:szCs w:val="20"/>
          <w:vertAlign w:val="superscript"/>
        </w:rPr>
        <w:footnoteRef/>
      </w:r>
      <w:r w:rsidRPr="00CA75DC">
        <w:rPr>
          <w:sz w:val="20"/>
          <w:szCs w:val="20"/>
        </w:rPr>
        <w:t xml:space="preserve"> Culturally enhanced video feedback aids engagement and therapeutic alliance (</w:t>
      </w:r>
      <w:proofErr w:type="spellStart"/>
      <w:r w:rsidRPr="00CA75DC">
        <w:rPr>
          <w:sz w:val="20"/>
          <w:szCs w:val="20"/>
        </w:rPr>
        <w:t>Yasui</w:t>
      </w:r>
      <w:proofErr w:type="spellEnd"/>
      <w:r w:rsidRPr="00CA75DC">
        <w:rPr>
          <w:sz w:val="20"/>
          <w:szCs w:val="20"/>
        </w:rPr>
        <w:t xml:space="preserve"> and Henry, 2014)</w:t>
      </w:r>
    </w:p>
  </w:footnote>
  <w:footnote w:id="7">
    <w:p w14:paraId="246C31C4" w14:textId="77777777" w:rsidR="00CA75DC" w:rsidRPr="00CA75DC" w:rsidRDefault="00CA75DC">
      <w:pPr>
        <w:spacing w:line="240" w:lineRule="auto"/>
        <w:rPr>
          <w:sz w:val="20"/>
          <w:szCs w:val="20"/>
        </w:rPr>
      </w:pPr>
      <w:r w:rsidRPr="00CA75DC">
        <w:rPr>
          <w:sz w:val="20"/>
          <w:szCs w:val="20"/>
          <w:vertAlign w:val="superscript"/>
        </w:rPr>
        <w:footnoteRef/>
      </w:r>
      <w:r w:rsidRPr="00CA75DC">
        <w:rPr>
          <w:sz w:val="20"/>
          <w:szCs w:val="20"/>
        </w:rPr>
        <w:t xml:space="preserve"> An example of an EBT Parent Child Interaction Therapy (PCIT) culturally adapted to support American Indian and Alaska Native families (Bigfoot and </w:t>
      </w:r>
      <w:proofErr w:type="spellStart"/>
      <w:r w:rsidRPr="00CA75DC">
        <w:rPr>
          <w:sz w:val="20"/>
          <w:szCs w:val="20"/>
        </w:rPr>
        <w:t>Funderburk</w:t>
      </w:r>
      <w:proofErr w:type="spellEnd"/>
      <w:r w:rsidRPr="00CA75DC">
        <w:rPr>
          <w:sz w:val="20"/>
          <w:szCs w:val="20"/>
        </w:rPr>
        <w:t>, 2011)</w:t>
      </w:r>
    </w:p>
  </w:footnote>
  <w:footnote w:id="8">
    <w:p w14:paraId="65BDE84B" w14:textId="77777777" w:rsidR="00CA75DC" w:rsidRPr="00CA75DC" w:rsidRDefault="00CA75DC">
      <w:pPr>
        <w:spacing w:line="240" w:lineRule="auto"/>
        <w:rPr>
          <w:sz w:val="20"/>
          <w:szCs w:val="20"/>
        </w:rPr>
      </w:pPr>
      <w:r w:rsidRPr="00CA75DC">
        <w:rPr>
          <w:sz w:val="20"/>
          <w:szCs w:val="20"/>
          <w:vertAlign w:val="superscript"/>
        </w:rPr>
        <w:footnoteRef/>
      </w:r>
      <w:r w:rsidRPr="00CA75DC">
        <w:rPr>
          <w:sz w:val="20"/>
          <w:szCs w:val="20"/>
        </w:rPr>
        <w:t xml:space="preserve"> Privilege and oppression related to clinician/ client power differential  (Hays, Chang, Dean, 2004)</w:t>
      </w:r>
    </w:p>
  </w:footnote>
  <w:footnote w:id="9">
    <w:p w14:paraId="41857903" w14:textId="77777777" w:rsidR="00CA75DC" w:rsidRPr="00CA75DC" w:rsidRDefault="00CA75DC">
      <w:pPr>
        <w:spacing w:line="240" w:lineRule="auto"/>
        <w:rPr>
          <w:sz w:val="20"/>
          <w:szCs w:val="20"/>
        </w:rPr>
      </w:pPr>
      <w:r w:rsidRPr="00CA75DC">
        <w:rPr>
          <w:sz w:val="20"/>
          <w:szCs w:val="20"/>
          <w:vertAlign w:val="superscript"/>
        </w:rPr>
        <w:footnoteRef/>
      </w:r>
      <w:r w:rsidRPr="00CA75DC">
        <w:rPr>
          <w:sz w:val="20"/>
          <w:szCs w:val="20"/>
        </w:rPr>
        <w:t xml:space="preserve"> Overview of engagement (Hepworth, Rooney, Strom-Gottfried, Larsen, 2013, chapter 5; Fraser, Grove, Lee, Greene, </w:t>
      </w:r>
      <w:proofErr w:type="spellStart"/>
      <w:r w:rsidRPr="00CA75DC">
        <w:rPr>
          <w:sz w:val="20"/>
          <w:szCs w:val="20"/>
        </w:rPr>
        <w:t>Solovey</w:t>
      </w:r>
      <w:proofErr w:type="spellEnd"/>
      <w:r w:rsidRPr="00CA75DC">
        <w:rPr>
          <w:sz w:val="20"/>
          <w:szCs w:val="20"/>
        </w:rPr>
        <w:t>, 2014, chapter 3; Cornett, 2014, chapter 1))</w:t>
      </w:r>
    </w:p>
  </w:footnote>
  <w:footnote w:id="10">
    <w:p w14:paraId="388033EB" w14:textId="77777777" w:rsidR="00CA75DC" w:rsidRPr="00CA75DC" w:rsidRDefault="00CA75DC">
      <w:pPr>
        <w:spacing w:line="240" w:lineRule="auto"/>
        <w:rPr>
          <w:sz w:val="20"/>
          <w:szCs w:val="20"/>
        </w:rPr>
      </w:pPr>
      <w:r w:rsidRPr="00CA75DC">
        <w:rPr>
          <w:sz w:val="20"/>
          <w:szCs w:val="20"/>
          <w:vertAlign w:val="superscript"/>
        </w:rPr>
        <w:footnoteRef/>
      </w:r>
      <w:r w:rsidRPr="00CA75DC">
        <w:rPr>
          <w:sz w:val="20"/>
          <w:szCs w:val="20"/>
        </w:rPr>
        <w:t xml:space="preserve">  The critical timing and problem-solving (McKay, </w:t>
      </w:r>
      <w:proofErr w:type="spellStart"/>
      <w:r w:rsidRPr="00CA75DC">
        <w:rPr>
          <w:sz w:val="20"/>
          <w:szCs w:val="20"/>
        </w:rPr>
        <w:t>Nudelman</w:t>
      </w:r>
      <w:proofErr w:type="spellEnd"/>
      <w:r w:rsidRPr="00CA75DC">
        <w:rPr>
          <w:sz w:val="20"/>
          <w:szCs w:val="20"/>
        </w:rPr>
        <w:t xml:space="preserve">, </w:t>
      </w:r>
      <w:proofErr w:type="spellStart"/>
      <w:r w:rsidRPr="00CA75DC">
        <w:rPr>
          <w:sz w:val="20"/>
          <w:szCs w:val="20"/>
        </w:rPr>
        <w:t>McCadam</w:t>
      </w:r>
      <w:proofErr w:type="spellEnd"/>
      <w:r w:rsidRPr="00CA75DC">
        <w:rPr>
          <w:sz w:val="20"/>
          <w:szCs w:val="20"/>
        </w:rPr>
        <w:t>, Gonzales, 1996; McKay et.al, 2004))</w:t>
      </w:r>
    </w:p>
  </w:footnote>
  <w:footnote w:id="11">
    <w:p w14:paraId="29549152" w14:textId="77777777" w:rsidR="00CA75DC" w:rsidRPr="00CA75DC" w:rsidRDefault="00CA75DC">
      <w:pPr>
        <w:spacing w:line="240" w:lineRule="auto"/>
        <w:rPr>
          <w:sz w:val="20"/>
          <w:szCs w:val="20"/>
        </w:rPr>
      </w:pPr>
      <w:r w:rsidRPr="00CA75DC">
        <w:rPr>
          <w:sz w:val="20"/>
          <w:szCs w:val="20"/>
          <w:vertAlign w:val="superscript"/>
        </w:rPr>
        <w:footnoteRef/>
      </w:r>
      <w:r w:rsidRPr="00CA75DC">
        <w:rPr>
          <w:sz w:val="20"/>
          <w:szCs w:val="20"/>
        </w:rPr>
        <w:t xml:space="preserve"> Transference, family stress, social supports as potential barriers to engagement (</w:t>
      </w:r>
      <w:proofErr w:type="spellStart"/>
      <w:r w:rsidRPr="00CA75DC">
        <w:rPr>
          <w:sz w:val="20"/>
          <w:szCs w:val="20"/>
        </w:rPr>
        <w:t>Dadds</w:t>
      </w:r>
      <w:proofErr w:type="spellEnd"/>
      <w:r w:rsidRPr="00CA75DC">
        <w:rPr>
          <w:sz w:val="20"/>
          <w:szCs w:val="20"/>
        </w:rPr>
        <w:t xml:space="preserve"> and McHugh, 1992; </w:t>
      </w:r>
      <w:proofErr w:type="spellStart"/>
      <w:r w:rsidRPr="00CA75DC">
        <w:rPr>
          <w:sz w:val="20"/>
          <w:szCs w:val="20"/>
        </w:rPr>
        <w:t>Kazden</w:t>
      </w:r>
      <w:proofErr w:type="spellEnd"/>
      <w:r w:rsidRPr="00CA75DC">
        <w:rPr>
          <w:sz w:val="20"/>
          <w:szCs w:val="20"/>
        </w:rPr>
        <w:t xml:space="preserve"> and </w:t>
      </w:r>
      <w:proofErr w:type="spellStart"/>
      <w:r w:rsidRPr="00CA75DC">
        <w:rPr>
          <w:sz w:val="20"/>
          <w:szCs w:val="20"/>
        </w:rPr>
        <w:t>Wassell</w:t>
      </w:r>
      <w:proofErr w:type="spellEnd"/>
      <w:r w:rsidRPr="00CA75DC">
        <w:rPr>
          <w:sz w:val="20"/>
          <w:szCs w:val="20"/>
        </w:rPr>
        <w:t xml:space="preserve">, 2000; McKay, Pennington, </w:t>
      </w:r>
      <w:proofErr w:type="spellStart"/>
      <w:r w:rsidRPr="00CA75DC">
        <w:rPr>
          <w:sz w:val="20"/>
          <w:szCs w:val="20"/>
        </w:rPr>
        <w:t>McCadam</w:t>
      </w:r>
      <w:proofErr w:type="spellEnd"/>
      <w:r w:rsidRPr="00CA75DC">
        <w:rPr>
          <w:sz w:val="20"/>
          <w:szCs w:val="20"/>
        </w:rPr>
        <w:t>, 2001)</w:t>
      </w:r>
    </w:p>
  </w:footnote>
  <w:footnote w:id="12">
    <w:p w14:paraId="2C57AD30" w14:textId="77777777" w:rsidR="00CA75DC" w:rsidRPr="00CA75DC" w:rsidRDefault="00CA75DC">
      <w:pPr>
        <w:spacing w:line="240" w:lineRule="auto"/>
        <w:rPr>
          <w:sz w:val="20"/>
          <w:szCs w:val="20"/>
        </w:rPr>
      </w:pPr>
      <w:r w:rsidRPr="00CA75DC">
        <w:rPr>
          <w:sz w:val="20"/>
          <w:szCs w:val="20"/>
          <w:vertAlign w:val="superscript"/>
        </w:rPr>
        <w:footnoteRef/>
      </w:r>
      <w:r w:rsidRPr="00CA75DC">
        <w:rPr>
          <w:sz w:val="20"/>
          <w:szCs w:val="20"/>
        </w:rPr>
        <w:t xml:space="preserve"> Beyond blame (Kelleher, 2015)</w:t>
      </w:r>
    </w:p>
  </w:footnote>
  <w:footnote w:id="13">
    <w:p w14:paraId="3A9BDF55" w14:textId="77777777" w:rsidR="00CA75DC" w:rsidRPr="00CA75DC" w:rsidRDefault="00CA75DC">
      <w:pPr>
        <w:spacing w:line="240" w:lineRule="auto"/>
        <w:rPr>
          <w:sz w:val="20"/>
          <w:szCs w:val="20"/>
        </w:rPr>
      </w:pPr>
      <w:r w:rsidRPr="00CA75DC">
        <w:rPr>
          <w:sz w:val="20"/>
          <w:szCs w:val="20"/>
          <w:vertAlign w:val="superscript"/>
        </w:rPr>
        <w:footnoteRef/>
      </w:r>
      <w:r w:rsidRPr="00CA75DC">
        <w:rPr>
          <w:sz w:val="20"/>
          <w:szCs w:val="20"/>
        </w:rPr>
        <w:t xml:space="preserve"> Systems theory and engaging (Fraser, Grove, Lee, Greene, </w:t>
      </w:r>
      <w:proofErr w:type="spellStart"/>
      <w:r w:rsidRPr="00CA75DC">
        <w:rPr>
          <w:sz w:val="20"/>
          <w:szCs w:val="20"/>
        </w:rPr>
        <w:t>Solovey</w:t>
      </w:r>
      <w:proofErr w:type="spellEnd"/>
      <w:r w:rsidRPr="00CA75DC">
        <w:rPr>
          <w:sz w:val="20"/>
          <w:szCs w:val="20"/>
        </w:rPr>
        <w:t>, 2014)</w:t>
      </w:r>
    </w:p>
  </w:footnote>
  <w:footnote w:id="14">
    <w:p w14:paraId="08D39201" w14:textId="77777777" w:rsidR="00CA75DC" w:rsidRPr="00CA75DC" w:rsidRDefault="00CA75DC">
      <w:pPr>
        <w:spacing w:line="240" w:lineRule="auto"/>
        <w:rPr>
          <w:sz w:val="20"/>
          <w:szCs w:val="20"/>
        </w:rPr>
      </w:pPr>
      <w:r w:rsidRPr="00CA75DC">
        <w:rPr>
          <w:sz w:val="20"/>
          <w:szCs w:val="20"/>
          <w:vertAlign w:val="superscript"/>
        </w:rPr>
        <w:footnoteRef/>
      </w:r>
      <w:r w:rsidRPr="00CA75DC">
        <w:rPr>
          <w:sz w:val="20"/>
          <w:szCs w:val="20"/>
        </w:rPr>
        <w:t xml:space="preserve"> Joining and other skills differ in practice setting (</w:t>
      </w:r>
      <w:proofErr w:type="spellStart"/>
      <w:r w:rsidRPr="00CA75DC">
        <w:rPr>
          <w:sz w:val="20"/>
          <w:szCs w:val="20"/>
        </w:rPr>
        <w:t>Stinchfield</w:t>
      </w:r>
      <w:proofErr w:type="spellEnd"/>
      <w:r w:rsidRPr="00CA75DC">
        <w:rPr>
          <w:sz w:val="20"/>
          <w:szCs w:val="20"/>
        </w:rPr>
        <w:t>, 2004)</w:t>
      </w:r>
    </w:p>
  </w:footnote>
  <w:footnote w:id="15">
    <w:p w14:paraId="3794E6D6" w14:textId="77777777" w:rsidR="00CA75DC" w:rsidRPr="00CA75DC" w:rsidRDefault="00CA75DC">
      <w:pPr>
        <w:spacing w:line="240" w:lineRule="auto"/>
        <w:rPr>
          <w:sz w:val="20"/>
          <w:szCs w:val="20"/>
        </w:rPr>
      </w:pPr>
      <w:r w:rsidRPr="00CA75DC">
        <w:rPr>
          <w:sz w:val="20"/>
          <w:szCs w:val="20"/>
          <w:vertAlign w:val="superscript"/>
        </w:rPr>
        <w:footnoteRef/>
      </w:r>
      <w:r w:rsidRPr="00CA75DC">
        <w:rPr>
          <w:sz w:val="20"/>
          <w:szCs w:val="20"/>
        </w:rPr>
        <w:t xml:space="preserve"> Good results with strong therapeutic alliances (Johnson, Wright, </w:t>
      </w:r>
      <w:proofErr w:type="spellStart"/>
      <w:r w:rsidRPr="00CA75DC">
        <w:rPr>
          <w:sz w:val="20"/>
          <w:szCs w:val="20"/>
        </w:rPr>
        <w:t>Ketring</w:t>
      </w:r>
      <w:proofErr w:type="spellEnd"/>
      <w:r w:rsidRPr="00CA75DC">
        <w:rPr>
          <w:sz w:val="20"/>
          <w:szCs w:val="20"/>
        </w:rPr>
        <w:t>, 2002)</w:t>
      </w:r>
    </w:p>
  </w:footnote>
  <w:footnote w:id="16">
    <w:p w14:paraId="66687B9A" w14:textId="77777777" w:rsidR="00CA75DC" w:rsidRPr="00CA75DC" w:rsidRDefault="00CA75DC">
      <w:pPr>
        <w:spacing w:line="240" w:lineRule="auto"/>
        <w:rPr>
          <w:sz w:val="20"/>
          <w:szCs w:val="20"/>
        </w:rPr>
      </w:pPr>
      <w:r w:rsidRPr="00CA75DC">
        <w:rPr>
          <w:sz w:val="20"/>
          <w:szCs w:val="20"/>
          <w:vertAlign w:val="superscript"/>
        </w:rPr>
        <w:footnoteRef/>
      </w:r>
      <w:r w:rsidRPr="00CA75DC">
        <w:rPr>
          <w:sz w:val="20"/>
          <w:szCs w:val="20"/>
        </w:rPr>
        <w:t xml:space="preserve"> Early terminations data (</w:t>
      </w:r>
      <w:proofErr w:type="spellStart"/>
      <w:r w:rsidRPr="00CA75DC">
        <w:rPr>
          <w:sz w:val="20"/>
          <w:szCs w:val="20"/>
        </w:rPr>
        <w:t>Gopalan</w:t>
      </w:r>
      <w:proofErr w:type="spellEnd"/>
      <w:r w:rsidRPr="00CA75DC">
        <w:rPr>
          <w:sz w:val="20"/>
          <w:szCs w:val="20"/>
        </w:rPr>
        <w:t xml:space="preserve"> et. al., 2010; Larsen-Rife and Brooks, 2009)</w:t>
      </w:r>
    </w:p>
  </w:footnote>
  <w:footnote w:id="17">
    <w:p w14:paraId="515AB74F" w14:textId="77777777" w:rsidR="00CA75DC" w:rsidRPr="00CA75DC" w:rsidRDefault="00CA75DC">
      <w:pPr>
        <w:spacing w:line="240" w:lineRule="auto"/>
        <w:rPr>
          <w:sz w:val="20"/>
          <w:szCs w:val="20"/>
        </w:rPr>
      </w:pPr>
      <w:r w:rsidRPr="00CA75DC">
        <w:rPr>
          <w:sz w:val="20"/>
          <w:szCs w:val="20"/>
          <w:vertAlign w:val="superscript"/>
        </w:rPr>
        <w:footnoteRef/>
      </w:r>
      <w:r w:rsidRPr="00CA75DC">
        <w:rPr>
          <w:sz w:val="20"/>
          <w:szCs w:val="20"/>
        </w:rPr>
        <w:t xml:space="preserve"> Logistical and perceived barriers to engagement (McKay and Bannon, 2004) </w:t>
      </w:r>
    </w:p>
  </w:footnote>
  <w:footnote w:id="18">
    <w:p w14:paraId="20372EEA" w14:textId="77777777" w:rsidR="00CA75DC" w:rsidRPr="00CA75DC" w:rsidRDefault="00CA75DC">
      <w:pPr>
        <w:spacing w:line="240" w:lineRule="auto"/>
        <w:rPr>
          <w:sz w:val="20"/>
          <w:szCs w:val="20"/>
        </w:rPr>
      </w:pPr>
      <w:r w:rsidRPr="00CA75DC">
        <w:rPr>
          <w:sz w:val="20"/>
          <w:szCs w:val="20"/>
          <w:vertAlign w:val="superscript"/>
        </w:rPr>
        <w:footnoteRef/>
      </w:r>
      <w:r w:rsidRPr="00CA75DC">
        <w:rPr>
          <w:sz w:val="20"/>
          <w:szCs w:val="20"/>
        </w:rPr>
        <w:t xml:space="preserve"> Importance of engaging foster parents (Cornett, 2014, chapter 20)</w:t>
      </w:r>
    </w:p>
  </w:footnote>
  <w:footnote w:id="19">
    <w:p w14:paraId="000F78FD" w14:textId="77777777" w:rsidR="00CA75DC" w:rsidRPr="00CA75DC" w:rsidRDefault="00CA75DC">
      <w:pPr>
        <w:spacing w:line="240" w:lineRule="auto"/>
        <w:rPr>
          <w:sz w:val="20"/>
          <w:szCs w:val="20"/>
        </w:rPr>
      </w:pPr>
      <w:r w:rsidRPr="00CA75DC">
        <w:rPr>
          <w:sz w:val="20"/>
          <w:szCs w:val="20"/>
          <w:vertAlign w:val="superscript"/>
        </w:rPr>
        <w:footnoteRef/>
      </w:r>
      <w:r w:rsidRPr="00CA75DC">
        <w:rPr>
          <w:sz w:val="20"/>
          <w:szCs w:val="20"/>
        </w:rPr>
        <w:t xml:space="preserve"> Overview of assessment (Hepworth, Rooney, Strom-Gottfried, Larsen, 2013, chapters 8, 9, 10; Cornett, 2011, chapters 7-12; Saxe, Ellis, </w:t>
      </w:r>
      <w:proofErr w:type="spellStart"/>
      <w:r w:rsidRPr="00CA75DC">
        <w:rPr>
          <w:sz w:val="20"/>
          <w:szCs w:val="20"/>
        </w:rPr>
        <w:t>Kaplow</w:t>
      </w:r>
      <w:proofErr w:type="spellEnd"/>
      <w:r w:rsidRPr="00CA75DC">
        <w:rPr>
          <w:sz w:val="20"/>
          <w:szCs w:val="20"/>
        </w:rPr>
        <w:t xml:space="preserve">, 2007, chapter 7; </w:t>
      </w:r>
      <w:proofErr w:type="spellStart"/>
      <w:r w:rsidRPr="00CA75DC">
        <w:rPr>
          <w:sz w:val="20"/>
          <w:szCs w:val="20"/>
        </w:rPr>
        <w:t>Rast</w:t>
      </w:r>
      <w:proofErr w:type="spellEnd"/>
      <w:r w:rsidRPr="00CA75DC">
        <w:rPr>
          <w:sz w:val="20"/>
          <w:szCs w:val="20"/>
        </w:rPr>
        <w:t xml:space="preserve"> and </w:t>
      </w:r>
      <w:proofErr w:type="spellStart"/>
      <w:r w:rsidRPr="00CA75DC">
        <w:rPr>
          <w:sz w:val="20"/>
          <w:szCs w:val="20"/>
        </w:rPr>
        <w:t>Rastsmith</w:t>
      </w:r>
      <w:proofErr w:type="spellEnd"/>
      <w:r w:rsidRPr="00CA75DC">
        <w:rPr>
          <w:sz w:val="20"/>
          <w:szCs w:val="20"/>
        </w:rPr>
        <w:t>, 2015, chapters 12, 13, 14)</w:t>
      </w:r>
    </w:p>
  </w:footnote>
  <w:footnote w:id="20">
    <w:p w14:paraId="6CA13B4E" w14:textId="77777777" w:rsidR="00CA75DC" w:rsidRPr="00CA75DC" w:rsidRDefault="00CA75DC">
      <w:pPr>
        <w:spacing w:line="240" w:lineRule="auto"/>
        <w:rPr>
          <w:sz w:val="20"/>
          <w:szCs w:val="20"/>
        </w:rPr>
      </w:pPr>
      <w:r w:rsidRPr="00CA75DC">
        <w:rPr>
          <w:sz w:val="20"/>
          <w:szCs w:val="20"/>
          <w:vertAlign w:val="superscript"/>
        </w:rPr>
        <w:footnoteRef/>
      </w:r>
      <w:r w:rsidRPr="00CA75DC">
        <w:rPr>
          <w:sz w:val="20"/>
          <w:szCs w:val="20"/>
        </w:rPr>
        <w:t xml:space="preserve"> Self-regulation, trauma, survival circuits (Saxe, Ellis, </w:t>
      </w:r>
      <w:proofErr w:type="spellStart"/>
      <w:r w:rsidRPr="00CA75DC">
        <w:rPr>
          <w:sz w:val="20"/>
          <w:szCs w:val="20"/>
        </w:rPr>
        <w:t>Kaplow</w:t>
      </w:r>
      <w:proofErr w:type="spellEnd"/>
      <w:r w:rsidRPr="00CA75DC">
        <w:rPr>
          <w:sz w:val="20"/>
          <w:szCs w:val="20"/>
        </w:rPr>
        <w:t>, 2007)</w:t>
      </w:r>
    </w:p>
  </w:footnote>
  <w:footnote w:id="21">
    <w:p w14:paraId="006CFE6D" w14:textId="77777777" w:rsidR="00CA75DC" w:rsidRPr="00CA75DC" w:rsidRDefault="00CA75DC">
      <w:pPr>
        <w:spacing w:line="240" w:lineRule="auto"/>
        <w:rPr>
          <w:sz w:val="20"/>
          <w:szCs w:val="20"/>
        </w:rPr>
      </w:pPr>
      <w:r w:rsidRPr="00CA75DC">
        <w:rPr>
          <w:sz w:val="20"/>
          <w:szCs w:val="20"/>
          <w:vertAlign w:val="superscript"/>
        </w:rPr>
        <w:footnoteRef/>
      </w:r>
      <w:r w:rsidRPr="00CA75DC">
        <w:rPr>
          <w:sz w:val="20"/>
          <w:szCs w:val="20"/>
        </w:rPr>
        <w:t xml:space="preserve"> Assessment includes relationship and caregivers’ needs and strengths (Cornett, 2014, chapters 6, 7; Anderson, Lyons, Giles et. al, 2003)</w:t>
      </w:r>
    </w:p>
  </w:footnote>
  <w:footnote w:id="22">
    <w:p w14:paraId="706949AD" w14:textId="77777777" w:rsidR="00CA75DC" w:rsidRPr="00CA75DC" w:rsidRDefault="00CA75DC">
      <w:pPr>
        <w:spacing w:line="240" w:lineRule="auto"/>
        <w:rPr>
          <w:sz w:val="20"/>
          <w:szCs w:val="20"/>
        </w:rPr>
      </w:pPr>
      <w:r w:rsidRPr="00CA75DC">
        <w:rPr>
          <w:sz w:val="20"/>
          <w:szCs w:val="20"/>
          <w:vertAlign w:val="superscript"/>
        </w:rPr>
        <w:footnoteRef/>
      </w:r>
      <w:r w:rsidRPr="00CA75DC">
        <w:rPr>
          <w:sz w:val="20"/>
          <w:szCs w:val="20"/>
        </w:rPr>
        <w:t xml:space="preserve"> Genograms and eco-maps (Butler, 2008; Rempel and </w:t>
      </w:r>
      <w:proofErr w:type="spellStart"/>
      <w:r w:rsidRPr="00CA75DC">
        <w:rPr>
          <w:sz w:val="20"/>
          <w:szCs w:val="20"/>
        </w:rPr>
        <w:t>Kishner</w:t>
      </w:r>
      <w:proofErr w:type="spellEnd"/>
      <w:r w:rsidRPr="00CA75DC">
        <w:rPr>
          <w:sz w:val="20"/>
          <w:szCs w:val="20"/>
        </w:rPr>
        <w:t>, 2007)</w:t>
      </w:r>
    </w:p>
  </w:footnote>
  <w:footnote w:id="23">
    <w:p w14:paraId="123C66E4" w14:textId="77777777" w:rsidR="00CA75DC" w:rsidRPr="00CA75DC" w:rsidRDefault="00CA75DC">
      <w:pPr>
        <w:spacing w:line="240" w:lineRule="auto"/>
        <w:rPr>
          <w:sz w:val="20"/>
          <w:szCs w:val="20"/>
        </w:rPr>
      </w:pPr>
      <w:r w:rsidRPr="00CA75DC">
        <w:rPr>
          <w:sz w:val="20"/>
          <w:szCs w:val="20"/>
          <w:vertAlign w:val="superscript"/>
        </w:rPr>
        <w:footnoteRef/>
      </w:r>
      <w:r w:rsidRPr="00CA75DC">
        <w:rPr>
          <w:sz w:val="20"/>
          <w:szCs w:val="20"/>
        </w:rPr>
        <w:t xml:space="preserve"> Overview of risk and safety planning (Cornett, 2011, chapter 16; Stanley and Brown, 2011; Stanley and Brown, 2008; </w:t>
      </w:r>
      <w:proofErr w:type="spellStart"/>
      <w:r w:rsidRPr="00CA75DC">
        <w:rPr>
          <w:sz w:val="20"/>
          <w:szCs w:val="20"/>
        </w:rPr>
        <w:t>Rast</w:t>
      </w:r>
      <w:proofErr w:type="spellEnd"/>
      <w:r w:rsidRPr="00CA75DC">
        <w:rPr>
          <w:sz w:val="20"/>
          <w:szCs w:val="20"/>
        </w:rPr>
        <w:t xml:space="preserve"> and </w:t>
      </w:r>
      <w:proofErr w:type="spellStart"/>
      <w:r w:rsidRPr="00CA75DC">
        <w:rPr>
          <w:sz w:val="20"/>
          <w:szCs w:val="20"/>
        </w:rPr>
        <w:t>Rastsmith</w:t>
      </w:r>
      <w:proofErr w:type="spellEnd"/>
      <w:r w:rsidRPr="00CA75DC">
        <w:rPr>
          <w:sz w:val="20"/>
          <w:szCs w:val="20"/>
        </w:rPr>
        <w:t>, 2015, chapter 19)</w:t>
      </w:r>
    </w:p>
  </w:footnote>
  <w:footnote w:id="24">
    <w:p w14:paraId="3243ED34" w14:textId="77777777" w:rsidR="00CA75DC" w:rsidRPr="00CA75DC" w:rsidRDefault="00CA75DC">
      <w:pPr>
        <w:spacing w:line="240" w:lineRule="auto"/>
        <w:rPr>
          <w:sz w:val="20"/>
          <w:szCs w:val="20"/>
        </w:rPr>
      </w:pPr>
      <w:r w:rsidRPr="00CA75DC">
        <w:rPr>
          <w:sz w:val="20"/>
          <w:szCs w:val="20"/>
          <w:vertAlign w:val="superscript"/>
        </w:rPr>
        <w:footnoteRef/>
      </w:r>
      <w:r w:rsidRPr="00CA75DC">
        <w:rPr>
          <w:sz w:val="20"/>
          <w:szCs w:val="20"/>
        </w:rPr>
        <w:t xml:space="preserve"> Crisis planning tools and training (Resources such as the safety plan template, advance communication to treatment providers, and supplemental documents are accessible on the MBHP website </w:t>
      </w:r>
      <w:hyperlink r:id="rId1">
        <w:r w:rsidRPr="00CA75DC">
          <w:rPr>
            <w:color w:val="1155CC"/>
            <w:sz w:val="20"/>
            <w:szCs w:val="20"/>
            <w:u w:val="single"/>
          </w:rPr>
          <w:t>https://www.masspartnership.com/provider/CrisisPlanning.aspx</w:t>
        </w:r>
      </w:hyperlink>
      <w:r w:rsidRPr="00CA75DC">
        <w:rPr>
          <w:sz w:val="20"/>
          <w:szCs w:val="20"/>
        </w:rPr>
        <w:t xml:space="preserve">) </w:t>
      </w:r>
    </w:p>
  </w:footnote>
  <w:footnote w:id="25">
    <w:p w14:paraId="72EFBC74" w14:textId="77777777" w:rsidR="00CA75DC" w:rsidRPr="00CA75DC" w:rsidRDefault="00CA75DC">
      <w:pPr>
        <w:spacing w:line="240" w:lineRule="auto"/>
        <w:rPr>
          <w:sz w:val="20"/>
          <w:szCs w:val="20"/>
        </w:rPr>
      </w:pPr>
      <w:r w:rsidRPr="00CA75DC">
        <w:rPr>
          <w:sz w:val="20"/>
          <w:szCs w:val="20"/>
          <w:vertAlign w:val="superscript"/>
        </w:rPr>
        <w:footnoteRef/>
      </w:r>
      <w:r w:rsidRPr="00CA75DC">
        <w:rPr>
          <w:sz w:val="20"/>
          <w:szCs w:val="20"/>
        </w:rPr>
        <w:t xml:space="preserve"> Sample of crisis planning training content (Kappy </w:t>
      </w:r>
      <w:proofErr w:type="spellStart"/>
      <w:r w:rsidRPr="00CA75DC">
        <w:rPr>
          <w:sz w:val="20"/>
          <w:szCs w:val="20"/>
        </w:rPr>
        <w:t>Maldenwald</w:t>
      </w:r>
      <w:proofErr w:type="spellEnd"/>
      <w:r w:rsidRPr="00CA75DC">
        <w:rPr>
          <w:sz w:val="20"/>
          <w:szCs w:val="20"/>
        </w:rPr>
        <w:t>, 2011, accessible at the MBHP website https://www.masspartnership.com/pdf/EffectiveCrisisPlannin-April11and132011FIN.52011.pdf)</w:t>
      </w:r>
    </w:p>
  </w:footnote>
  <w:footnote w:id="26">
    <w:p w14:paraId="721DA2CD" w14:textId="255B2A29" w:rsidR="00CA75DC" w:rsidRPr="00CA75DC" w:rsidRDefault="00CA75DC">
      <w:pPr>
        <w:spacing w:line="240" w:lineRule="auto"/>
        <w:rPr>
          <w:sz w:val="20"/>
          <w:szCs w:val="20"/>
        </w:rPr>
      </w:pPr>
      <w:r w:rsidRPr="00CA75DC">
        <w:rPr>
          <w:sz w:val="20"/>
          <w:szCs w:val="20"/>
          <w:vertAlign w:val="superscript"/>
        </w:rPr>
        <w:footnoteRef/>
      </w:r>
      <w:r w:rsidRPr="00CA75DC">
        <w:rPr>
          <w:sz w:val="20"/>
          <w:szCs w:val="20"/>
        </w:rPr>
        <w:t xml:space="preserve"> MA DMH Safety Tool 2006 (</w:t>
      </w:r>
      <w:hyperlink r:id="rId2" w:history="1">
        <w:r w:rsidR="009107F8" w:rsidRPr="0092011C">
          <w:rPr>
            <w:rStyle w:val="Hyperlink"/>
            <w:sz w:val="20"/>
            <w:szCs w:val="20"/>
          </w:rPr>
          <w:t>http://www.mass.gov/eohhs/docs/dmh/rsri/safety-tool-for-kids-sample.pdf</w:t>
        </w:r>
      </w:hyperlink>
      <w:r w:rsidR="009107F8">
        <w:rPr>
          <w:sz w:val="20"/>
          <w:szCs w:val="20"/>
        </w:rPr>
        <w:t xml:space="preserve"> </w:t>
      </w:r>
      <w:r w:rsidRPr="00CA75DC">
        <w:rPr>
          <w:sz w:val="20"/>
          <w:szCs w:val="20"/>
        </w:rPr>
        <w:t>)</w:t>
      </w:r>
    </w:p>
  </w:footnote>
  <w:footnote w:id="27">
    <w:p w14:paraId="75FB8BA1" w14:textId="60C449B2" w:rsidR="00CA75DC" w:rsidRPr="00CA75DC" w:rsidRDefault="00CA75DC">
      <w:pPr>
        <w:spacing w:line="240" w:lineRule="auto"/>
        <w:rPr>
          <w:sz w:val="20"/>
          <w:szCs w:val="20"/>
        </w:rPr>
      </w:pPr>
      <w:r w:rsidRPr="00CA75DC">
        <w:rPr>
          <w:sz w:val="20"/>
          <w:szCs w:val="20"/>
          <w:vertAlign w:val="superscript"/>
        </w:rPr>
        <w:footnoteRef/>
      </w:r>
      <w:r w:rsidRPr="00CA75DC">
        <w:rPr>
          <w:sz w:val="20"/>
          <w:szCs w:val="20"/>
        </w:rPr>
        <w:t xml:space="preserve"> Crisis planning and d</w:t>
      </w:r>
      <w:r w:rsidR="009107F8">
        <w:rPr>
          <w:sz w:val="20"/>
          <w:szCs w:val="20"/>
        </w:rPr>
        <w:t xml:space="preserve">iscussions of non-suicidal </w:t>
      </w:r>
      <w:r w:rsidR="009107F8">
        <w:rPr>
          <w:sz w:val="20"/>
          <w:szCs w:val="20"/>
        </w:rPr>
        <w:t>self-</w:t>
      </w:r>
      <w:bookmarkStart w:id="0" w:name="_GoBack"/>
      <w:bookmarkEnd w:id="0"/>
      <w:r w:rsidRPr="00CA75DC">
        <w:rPr>
          <w:sz w:val="20"/>
          <w:szCs w:val="20"/>
        </w:rPr>
        <w:t xml:space="preserve">harm (Fisher, 2011; </w:t>
      </w:r>
      <w:proofErr w:type="spellStart"/>
      <w:r w:rsidRPr="00CA75DC">
        <w:rPr>
          <w:sz w:val="20"/>
          <w:szCs w:val="20"/>
        </w:rPr>
        <w:t>Brausch</w:t>
      </w:r>
      <w:proofErr w:type="spellEnd"/>
      <w:r w:rsidRPr="00CA75DC">
        <w:rPr>
          <w:sz w:val="20"/>
          <w:szCs w:val="20"/>
        </w:rPr>
        <w:t xml:space="preserve"> and Gutierrez, 2010)</w:t>
      </w:r>
    </w:p>
  </w:footnote>
  <w:footnote w:id="28">
    <w:p w14:paraId="4E2894C0" w14:textId="77777777" w:rsidR="00CA75DC" w:rsidRPr="00CA75DC" w:rsidRDefault="00CA75DC">
      <w:pPr>
        <w:spacing w:line="240" w:lineRule="auto"/>
        <w:rPr>
          <w:sz w:val="20"/>
          <w:szCs w:val="20"/>
        </w:rPr>
      </w:pPr>
      <w:r w:rsidRPr="00CA75DC">
        <w:rPr>
          <w:sz w:val="20"/>
          <w:szCs w:val="20"/>
          <w:vertAlign w:val="superscript"/>
        </w:rPr>
        <w:footnoteRef/>
      </w:r>
      <w:r w:rsidRPr="00CA75DC">
        <w:rPr>
          <w:sz w:val="20"/>
          <w:szCs w:val="20"/>
        </w:rPr>
        <w:t xml:space="preserve"> Overview of collaborative intervention planning (</w:t>
      </w:r>
      <w:proofErr w:type="spellStart"/>
      <w:r w:rsidRPr="00CA75DC">
        <w:rPr>
          <w:sz w:val="20"/>
          <w:szCs w:val="20"/>
        </w:rPr>
        <w:t>Rast</w:t>
      </w:r>
      <w:proofErr w:type="spellEnd"/>
      <w:r w:rsidRPr="00CA75DC">
        <w:rPr>
          <w:sz w:val="20"/>
          <w:szCs w:val="20"/>
        </w:rPr>
        <w:t xml:space="preserve"> and </w:t>
      </w:r>
      <w:proofErr w:type="spellStart"/>
      <w:r w:rsidRPr="00CA75DC">
        <w:rPr>
          <w:sz w:val="20"/>
          <w:szCs w:val="20"/>
        </w:rPr>
        <w:t>Rastsmith</w:t>
      </w:r>
      <w:proofErr w:type="spellEnd"/>
      <w:r w:rsidRPr="00CA75DC">
        <w:rPr>
          <w:sz w:val="20"/>
          <w:szCs w:val="20"/>
        </w:rPr>
        <w:t xml:space="preserve">, 2015, chapters 17, 18; Cornett, 2011, chapters 13-15; Fraser, Grove, Lee, Greene, </w:t>
      </w:r>
      <w:proofErr w:type="spellStart"/>
      <w:r w:rsidRPr="00CA75DC">
        <w:rPr>
          <w:sz w:val="20"/>
          <w:szCs w:val="20"/>
        </w:rPr>
        <w:t>Solovey</w:t>
      </w:r>
      <w:proofErr w:type="spellEnd"/>
      <w:r w:rsidRPr="00CA75DC">
        <w:rPr>
          <w:sz w:val="20"/>
          <w:szCs w:val="20"/>
        </w:rPr>
        <w:t>, 2014, chapter 5)</w:t>
      </w:r>
    </w:p>
  </w:footnote>
  <w:footnote w:id="29">
    <w:p w14:paraId="05DF6DEF" w14:textId="77777777" w:rsidR="00CA75DC" w:rsidRPr="00CA75DC" w:rsidRDefault="00CA75DC">
      <w:pPr>
        <w:spacing w:line="240" w:lineRule="auto"/>
        <w:rPr>
          <w:sz w:val="20"/>
          <w:szCs w:val="20"/>
        </w:rPr>
      </w:pPr>
      <w:r w:rsidRPr="00CA75DC">
        <w:rPr>
          <w:sz w:val="20"/>
          <w:szCs w:val="20"/>
          <w:vertAlign w:val="superscript"/>
        </w:rPr>
        <w:footnoteRef/>
      </w:r>
      <w:r w:rsidRPr="00CA75DC">
        <w:rPr>
          <w:sz w:val="20"/>
          <w:szCs w:val="20"/>
        </w:rPr>
        <w:t xml:space="preserve"> Developmentally appropriate services (Cornett, 2011), clinical strategies to support caregivers of young children (Cornett, 2014, chapter 15)</w:t>
      </w:r>
    </w:p>
  </w:footnote>
  <w:footnote w:id="30">
    <w:p w14:paraId="678917AE" w14:textId="77777777" w:rsidR="00CA75DC" w:rsidRPr="00CA75DC" w:rsidRDefault="00CA75DC">
      <w:pPr>
        <w:spacing w:line="240" w:lineRule="auto"/>
        <w:rPr>
          <w:sz w:val="20"/>
          <w:szCs w:val="20"/>
        </w:rPr>
      </w:pPr>
      <w:r w:rsidRPr="00CA75DC">
        <w:rPr>
          <w:sz w:val="20"/>
          <w:szCs w:val="20"/>
          <w:vertAlign w:val="superscript"/>
        </w:rPr>
        <w:footnoteRef/>
      </w:r>
      <w:r w:rsidRPr="00CA75DC">
        <w:rPr>
          <w:sz w:val="20"/>
          <w:szCs w:val="20"/>
        </w:rPr>
        <w:t xml:space="preserve"> Shared decision making and medication management (Deegan and Drake, 2006)</w:t>
      </w:r>
    </w:p>
  </w:footnote>
  <w:footnote w:id="31">
    <w:p w14:paraId="115E4E59" w14:textId="77777777" w:rsidR="00CA75DC" w:rsidRDefault="00CA75DC">
      <w:pPr>
        <w:spacing w:line="240" w:lineRule="auto"/>
      </w:pPr>
      <w:r>
        <w:rPr>
          <w:vertAlign w:val="superscript"/>
        </w:rPr>
        <w:footnoteRef/>
      </w:r>
      <w:r>
        <w:rPr>
          <w:sz w:val="20"/>
          <w:szCs w:val="20"/>
        </w:rPr>
        <w:t xml:space="preserve"> Overview of intensive therapeutic intervention (</w:t>
      </w:r>
      <w:proofErr w:type="spellStart"/>
      <w:r>
        <w:rPr>
          <w:sz w:val="20"/>
          <w:szCs w:val="20"/>
        </w:rPr>
        <w:t>Rast</w:t>
      </w:r>
      <w:proofErr w:type="spellEnd"/>
      <w:r>
        <w:rPr>
          <w:sz w:val="20"/>
          <w:szCs w:val="20"/>
        </w:rPr>
        <w:t xml:space="preserve"> and </w:t>
      </w:r>
      <w:proofErr w:type="spellStart"/>
      <w:r>
        <w:rPr>
          <w:sz w:val="20"/>
          <w:szCs w:val="20"/>
        </w:rPr>
        <w:t>Rastsmith</w:t>
      </w:r>
      <w:proofErr w:type="spellEnd"/>
      <w:r>
        <w:rPr>
          <w:sz w:val="20"/>
          <w:szCs w:val="20"/>
        </w:rPr>
        <w:t xml:space="preserve">, 2015, chapters 21, 22, 23; Fraser, Grove, Lee, Greene, </w:t>
      </w:r>
      <w:proofErr w:type="spellStart"/>
      <w:r>
        <w:rPr>
          <w:sz w:val="20"/>
          <w:szCs w:val="20"/>
        </w:rPr>
        <w:t>Solovey</w:t>
      </w:r>
      <w:proofErr w:type="spellEnd"/>
      <w:r>
        <w:rPr>
          <w:sz w:val="20"/>
          <w:szCs w:val="20"/>
        </w:rPr>
        <w:t>, 2014, chapters 6, 7, 8)</w:t>
      </w:r>
    </w:p>
  </w:footnote>
  <w:footnote w:id="32">
    <w:p w14:paraId="69F06187" w14:textId="77777777" w:rsidR="00CA75DC" w:rsidRPr="00CA75DC" w:rsidRDefault="00CA75DC">
      <w:pPr>
        <w:spacing w:line="240" w:lineRule="auto"/>
        <w:rPr>
          <w:sz w:val="20"/>
          <w:szCs w:val="20"/>
        </w:rPr>
      </w:pPr>
      <w:r w:rsidRPr="00CA75DC">
        <w:rPr>
          <w:sz w:val="20"/>
          <w:szCs w:val="20"/>
          <w:vertAlign w:val="superscript"/>
        </w:rPr>
        <w:footnoteRef/>
      </w:r>
      <w:r w:rsidRPr="00CA75DC">
        <w:rPr>
          <w:sz w:val="20"/>
          <w:szCs w:val="20"/>
        </w:rPr>
        <w:t xml:space="preserve"> A wide range of evidence based practices in IHT and home-based therapies, including FFT, MST, </w:t>
      </w:r>
      <w:proofErr w:type="spellStart"/>
      <w:r w:rsidRPr="00CA75DC">
        <w:rPr>
          <w:sz w:val="20"/>
          <w:szCs w:val="20"/>
        </w:rPr>
        <w:t>TST</w:t>
      </w:r>
      <w:proofErr w:type="spellEnd"/>
      <w:r w:rsidRPr="00CA75DC">
        <w:rPr>
          <w:sz w:val="20"/>
          <w:szCs w:val="20"/>
        </w:rPr>
        <w:t>, I-FAST (</w:t>
      </w:r>
      <w:proofErr w:type="spellStart"/>
      <w:r w:rsidRPr="00CA75DC">
        <w:rPr>
          <w:sz w:val="20"/>
          <w:szCs w:val="20"/>
        </w:rPr>
        <w:t>Mazier</w:t>
      </w:r>
      <w:proofErr w:type="spellEnd"/>
      <w:r w:rsidRPr="00CA75DC">
        <w:rPr>
          <w:sz w:val="20"/>
          <w:szCs w:val="20"/>
        </w:rPr>
        <w:t xml:space="preserve">, 2015, chapter 2), </w:t>
      </w:r>
      <w:proofErr w:type="spellStart"/>
      <w:r w:rsidRPr="00CA75DC">
        <w:rPr>
          <w:sz w:val="20"/>
          <w:szCs w:val="20"/>
        </w:rPr>
        <w:t>IFPS</w:t>
      </w:r>
      <w:proofErr w:type="spellEnd"/>
      <w:r w:rsidRPr="00CA75DC">
        <w:rPr>
          <w:sz w:val="20"/>
          <w:szCs w:val="20"/>
        </w:rPr>
        <w:t xml:space="preserve">, </w:t>
      </w:r>
      <w:proofErr w:type="spellStart"/>
      <w:r w:rsidRPr="00CA75DC">
        <w:rPr>
          <w:sz w:val="20"/>
          <w:szCs w:val="20"/>
        </w:rPr>
        <w:t>MTFC</w:t>
      </w:r>
      <w:proofErr w:type="spellEnd"/>
      <w:r w:rsidRPr="00CA75DC">
        <w:rPr>
          <w:sz w:val="20"/>
          <w:szCs w:val="20"/>
        </w:rPr>
        <w:t xml:space="preserve"> (</w:t>
      </w:r>
      <w:proofErr w:type="spellStart"/>
      <w:r w:rsidRPr="00CA75DC">
        <w:rPr>
          <w:sz w:val="20"/>
          <w:szCs w:val="20"/>
        </w:rPr>
        <w:t>Maachi</w:t>
      </w:r>
      <w:proofErr w:type="spellEnd"/>
      <w:r w:rsidRPr="00CA75DC">
        <w:rPr>
          <w:sz w:val="20"/>
          <w:szCs w:val="20"/>
        </w:rPr>
        <w:t xml:space="preserve"> and O’Conner, 2010) ARC (Blaustein and Kinniburgh, 2010); EBP’s in infant and early childhood mental health (Cornett, 2014, chapter 17) </w:t>
      </w:r>
    </w:p>
  </w:footnote>
  <w:footnote w:id="33">
    <w:p w14:paraId="45DA76E6" w14:textId="77777777" w:rsidR="00CA75DC" w:rsidRPr="00CA75DC" w:rsidRDefault="00CA75DC">
      <w:pPr>
        <w:spacing w:line="240" w:lineRule="auto"/>
        <w:rPr>
          <w:sz w:val="20"/>
          <w:szCs w:val="20"/>
        </w:rPr>
      </w:pPr>
      <w:r w:rsidRPr="00CA75DC">
        <w:rPr>
          <w:sz w:val="20"/>
          <w:szCs w:val="20"/>
          <w:vertAlign w:val="superscript"/>
        </w:rPr>
        <w:footnoteRef/>
      </w:r>
      <w:r w:rsidRPr="00CA75DC">
        <w:rPr>
          <w:sz w:val="20"/>
          <w:szCs w:val="20"/>
        </w:rPr>
        <w:t xml:space="preserve"> Common Factors Approach examples: I-FAST (Fraser, Grove, Lee, Greene, </w:t>
      </w:r>
      <w:proofErr w:type="spellStart"/>
      <w:r w:rsidRPr="00CA75DC">
        <w:rPr>
          <w:sz w:val="20"/>
          <w:szCs w:val="20"/>
        </w:rPr>
        <w:t>Solovey</w:t>
      </w:r>
      <w:proofErr w:type="spellEnd"/>
      <w:r w:rsidRPr="00CA75DC">
        <w:rPr>
          <w:sz w:val="20"/>
          <w:szCs w:val="20"/>
        </w:rPr>
        <w:t>, (2014)</w:t>
      </w:r>
    </w:p>
    <w:p w14:paraId="69101CE2" w14:textId="77777777" w:rsidR="00CA75DC" w:rsidRPr="00CA75DC" w:rsidRDefault="00CA75DC">
      <w:pPr>
        <w:spacing w:line="240" w:lineRule="auto"/>
        <w:rPr>
          <w:sz w:val="20"/>
          <w:szCs w:val="20"/>
        </w:rPr>
      </w:pPr>
      <w:r w:rsidRPr="00CA75DC">
        <w:rPr>
          <w:sz w:val="20"/>
          <w:szCs w:val="20"/>
        </w:rPr>
        <w:t>MAPS, MATCH</w:t>
      </w:r>
    </w:p>
  </w:footnote>
  <w:footnote w:id="34">
    <w:p w14:paraId="2A31074F" w14:textId="77777777" w:rsidR="00CA75DC" w:rsidRPr="00CA75DC" w:rsidRDefault="00CA75DC">
      <w:pPr>
        <w:spacing w:line="240" w:lineRule="auto"/>
        <w:rPr>
          <w:sz w:val="20"/>
          <w:szCs w:val="20"/>
        </w:rPr>
      </w:pPr>
      <w:r w:rsidRPr="00CA75DC">
        <w:rPr>
          <w:sz w:val="20"/>
          <w:szCs w:val="20"/>
          <w:vertAlign w:val="superscript"/>
        </w:rPr>
        <w:footnoteRef/>
      </w:r>
      <w:r w:rsidRPr="00CA75DC">
        <w:rPr>
          <w:sz w:val="20"/>
          <w:szCs w:val="20"/>
        </w:rPr>
        <w:t xml:space="preserve"> Contraindications (</w:t>
      </w:r>
      <w:proofErr w:type="spellStart"/>
      <w:r w:rsidRPr="00CA75DC">
        <w:rPr>
          <w:sz w:val="20"/>
          <w:szCs w:val="20"/>
        </w:rPr>
        <w:t>Maachi</w:t>
      </w:r>
      <w:proofErr w:type="spellEnd"/>
      <w:r w:rsidRPr="00CA75DC">
        <w:rPr>
          <w:sz w:val="20"/>
          <w:szCs w:val="20"/>
        </w:rPr>
        <w:t xml:space="preserve"> and O’Conner, 2010)</w:t>
      </w:r>
    </w:p>
  </w:footnote>
  <w:footnote w:id="35">
    <w:p w14:paraId="35F2292F" w14:textId="77777777" w:rsidR="00CA75DC" w:rsidRPr="00CA75DC" w:rsidRDefault="00CA75DC">
      <w:pPr>
        <w:spacing w:line="240" w:lineRule="auto"/>
        <w:rPr>
          <w:sz w:val="20"/>
          <w:szCs w:val="20"/>
        </w:rPr>
      </w:pPr>
      <w:r w:rsidRPr="00CA75DC">
        <w:rPr>
          <w:sz w:val="20"/>
          <w:szCs w:val="20"/>
          <w:vertAlign w:val="superscript"/>
        </w:rPr>
        <w:footnoteRef/>
      </w:r>
      <w:r w:rsidRPr="00CA75DC">
        <w:rPr>
          <w:sz w:val="20"/>
          <w:szCs w:val="20"/>
        </w:rPr>
        <w:t xml:space="preserve"> EBT manuals and therapeutic alliance (Langer, McLeod, Weisz, 2011)</w:t>
      </w:r>
    </w:p>
  </w:footnote>
  <w:footnote w:id="36">
    <w:p w14:paraId="2622AE7E" w14:textId="77777777" w:rsidR="00CA75DC" w:rsidRPr="00CA75DC" w:rsidRDefault="00CA75DC">
      <w:pPr>
        <w:spacing w:line="240" w:lineRule="auto"/>
        <w:rPr>
          <w:sz w:val="20"/>
          <w:szCs w:val="20"/>
        </w:rPr>
      </w:pPr>
      <w:r w:rsidRPr="00CA75DC">
        <w:rPr>
          <w:sz w:val="20"/>
          <w:szCs w:val="20"/>
          <w:vertAlign w:val="superscript"/>
        </w:rPr>
        <w:footnoteRef/>
      </w:r>
      <w:r w:rsidRPr="00CA75DC">
        <w:rPr>
          <w:sz w:val="20"/>
          <w:szCs w:val="20"/>
        </w:rPr>
        <w:t xml:space="preserve"> Integration of medications and treatments (Saxe, Ellis, </w:t>
      </w:r>
      <w:proofErr w:type="spellStart"/>
      <w:r w:rsidRPr="00CA75DC">
        <w:rPr>
          <w:sz w:val="20"/>
          <w:szCs w:val="20"/>
        </w:rPr>
        <w:t>Kaplow</w:t>
      </w:r>
      <w:proofErr w:type="spellEnd"/>
      <w:r w:rsidRPr="00CA75DC">
        <w:rPr>
          <w:sz w:val="20"/>
          <w:szCs w:val="20"/>
        </w:rPr>
        <w:t>, 2007, chapter 13)</w:t>
      </w:r>
    </w:p>
  </w:footnote>
  <w:footnote w:id="37">
    <w:p w14:paraId="1B8CD704" w14:textId="77777777" w:rsidR="00CA75DC" w:rsidRPr="00CA75DC" w:rsidRDefault="00CA75DC">
      <w:pPr>
        <w:spacing w:line="240" w:lineRule="auto"/>
        <w:rPr>
          <w:sz w:val="20"/>
          <w:szCs w:val="20"/>
        </w:rPr>
      </w:pPr>
      <w:r w:rsidRPr="00CA75DC">
        <w:rPr>
          <w:sz w:val="20"/>
          <w:szCs w:val="20"/>
          <w:vertAlign w:val="superscript"/>
        </w:rPr>
        <w:footnoteRef/>
      </w:r>
      <w:r w:rsidRPr="00CA75DC">
        <w:rPr>
          <w:sz w:val="20"/>
          <w:szCs w:val="20"/>
        </w:rPr>
        <w:t xml:space="preserve"> Developmental considerations for working with families with young children (Cornett, 2014)</w:t>
      </w:r>
    </w:p>
  </w:footnote>
  <w:footnote w:id="38">
    <w:p w14:paraId="0521739F" w14:textId="77777777" w:rsidR="00CA75DC" w:rsidRPr="00CA75DC" w:rsidRDefault="00CA75DC">
      <w:pPr>
        <w:spacing w:line="240" w:lineRule="auto"/>
        <w:rPr>
          <w:sz w:val="20"/>
          <w:szCs w:val="20"/>
        </w:rPr>
      </w:pPr>
      <w:r w:rsidRPr="00CA75DC">
        <w:rPr>
          <w:sz w:val="20"/>
          <w:szCs w:val="20"/>
          <w:vertAlign w:val="superscript"/>
        </w:rPr>
        <w:footnoteRef/>
      </w:r>
      <w:r w:rsidRPr="00CA75DC">
        <w:rPr>
          <w:sz w:val="20"/>
          <w:szCs w:val="20"/>
        </w:rPr>
        <w:t xml:space="preserve"> Clinical strategies for children with difficult temperaments (Cornett, 2014, chapter 11)</w:t>
      </w:r>
    </w:p>
  </w:footnote>
  <w:footnote w:id="39">
    <w:p w14:paraId="6F5D52F5" w14:textId="77777777" w:rsidR="00CA75DC" w:rsidRPr="00CA75DC" w:rsidRDefault="00CA75DC">
      <w:pPr>
        <w:spacing w:line="240" w:lineRule="auto"/>
        <w:rPr>
          <w:sz w:val="20"/>
          <w:szCs w:val="20"/>
        </w:rPr>
      </w:pPr>
      <w:r w:rsidRPr="00CA75DC">
        <w:rPr>
          <w:sz w:val="20"/>
          <w:szCs w:val="20"/>
          <w:vertAlign w:val="superscript"/>
        </w:rPr>
        <w:footnoteRef/>
      </w:r>
      <w:r w:rsidRPr="00CA75DC">
        <w:rPr>
          <w:sz w:val="20"/>
          <w:szCs w:val="20"/>
        </w:rPr>
        <w:t xml:space="preserve"> Clinical strategies to help children manage regulation (Cornett, 2014, chapter 10)</w:t>
      </w:r>
    </w:p>
  </w:footnote>
  <w:footnote w:id="40">
    <w:p w14:paraId="6A4463AF" w14:textId="77777777" w:rsidR="00CA75DC" w:rsidRPr="00CA75DC" w:rsidRDefault="00CA75DC">
      <w:pPr>
        <w:spacing w:line="240" w:lineRule="auto"/>
        <w:rPr>
          <w:sz w:val="20"/>
          <w:szCs w:val="20"/>
        </w:rPr>
      </w:pPr>
      <w:r w:rsidRPr="00CA75DC">
        <w:rPr>
          <w:sz w:val="20"/>
          <w:szCs w:val="20"/>
          <w:vertAlign w:val="superscript"/>
        </w:rPr>
        <w:footnoteRef/>
      </w:r>
      <w:r w:rsidRPr="00CA75DC">
        <w:rPr>
          <w:sz w:val="20"/>
          <w:szCs w:val="20"/>
        </w:rPr>
        <w:t xml:space="preserve"> Clinical strategies to support attachment relationships (Cornett, 2014, chapter 14)</w:t>
      </w:r>
    </w:p>
  </w:footnote>
  <w:footnote w:id="41">
    <w:p w14:paraId="5CB112F4" w14:textId="77777777" w:rsidR="00CA75DC" w:rsidRPr="00CA75DC" w:rsidRDefault="00CA75DC">
      <w:pPr>
        <w:spacing w:line="240" w:lineRule="auto"/>
        <w:rPr>
          <w:sz w:val="20"/>
          <w:szCs w:val="20"/>
        </w:rPr>
      </w:pPr>
      <w:r w:rsidRPr="00CA75DC">
        <w:rPr>
          <w:sz w:val="20"/>
          <w:szCs w:val="20"/>
          <w:vertAlign w:val="superscript"/>
        </w:rPr>
        <w:footnoteRef/>
      </w:r>
      <w:r w:rsidRPr="00CA75DC">
        <w:rPr>
          <w:sz w:val="20"/>
          <w:szCs w:val="20"/>
        </w:rPr>
        <w:t xml:space="preserve"> Clinical strategies to support children with ADHD (Cornett, 2014, chapter 8)</w:t>
      </w:r>
    </w:p>
  </w:footnote>
  <w:footnote w:id="42">
    <w:p w14:paraId="10310771" w14:textId="77777777" w:rsidR="00CA75DC" w:rsidRPr="00CA75DC" w:rsidRDefault="00CA75DC">
      <w:pPr>
        <w:spacing w:line="240" w:lineRule="auto"/>
        <w:rPr>
          <w:sz w:val="20"/>
          <w:szCs w:val="20"/>
        </w:rPr>
      </w:pPr>
      <w:r w:rsidRPr="00CA75DC">
        <w:rPr>
          <w:sz w:val="20"/>
          <w:szCs w:val="20"/>
          <w:vertAlign w:val="superscript"/>
        </w:rPr>
        <w:footnoteRef/>
      </w:r>
      <w:r w:rsidRPr="00CA75DC">
        <w:rPr>
          <w:sz w:val="20"/>
          <w:szCs w:val="20"/>
        </w:rPr>
        <w:t xml:space="preserve"> Clinical strategies for children with mood disorders (Cornett, 2014, chapter 12)</w:t>
      </w:r>
    </w:p>
  </w:footnote>
  <w:footnote w:id="43">
    <w:p w14:paraId="43F723A3" w14:textId="77777777" w:rsidR="00CA75DC" w:rsidRPr="00CA75DC" w:rsidRDefault="00CA75DC">
      <w:pPr>
        <w:spacing w:line="240" w:lineRule="auto"/>
        <w:rPr>
          <w:sz w:val="20"/>
          <w:szCs w:val="20"/>
        </w:rPr>
      </w:pPr>
      <w:r w:rsidRPr="00CA75DC">
        <w:rPr>
          <w:sz w:val="20"/>
          <w:szCs w:val="20"/>
          <w:vertAlign w:val="superscript"/>
        </w:rPr>
        <w:footnoteRef/>
      </w:r>
      <w:r w:rsidRPr="00CA75DC">
        <w:rPr>
          <w:sz w:val="20"/>
          <w:szCs w:val="20"/>
        </w:rPr>
        <w:t xml:space="preserve"> Clinical strategies for children with sensory processing challenges (Cornett, 2014, chapter 13)</w:t>
      </w:r>
    </w:p>
  </w:footnote>
  <w:footnote w:id="44">
    <w:p w14:paraId="7B1EF6C8" w14:textId="77777777" w:rsidR="00CA75DC" w:rsidRPr="00CA75DC" w:rsidRDefault="00CA75DC">
      <w:pPr>
        <w:spacing w:line="240" w:lineRule="auto"/>
        <w:rPr>
          <w:sz w:val="20"/>
          <w:szCs w:val="20"/>
        </w:rPr>
      </w:pPr>
      <w:r w:rsidRPr="00CA75DC">
        <w:rPr>
          <w:sz w:val="20"/>
          <w:szCs w:val="20"/>
          <w:vertAlign w:val="superscript"/>
        </w:rPr>
        <w:footnoteRef/>
      </w:r>
      <w:r w:rsidRPr="00CA75DC">
        <w:rPr>
          <w:sz w:val="20"/>
          <w:szCs w:val="20"/>
        </w:rPr>
        <w:t xml:space="preserve"> Clinical strategies to support traumatized children (Cornett, 2014, chapter 9)</w:t>
      </w:r>
    </w:p>
  </w:footnote>
  <w:footnote w:id="45">
    <w:p w14:paraId="6DEE5D4D" w14:textId="77777777" w:rsidR="00CA75DC" w:rsidRPr="00CA75DC" w:rsidRDefault="00CA75DC">
      <w:pPr>
        <w:spacing w:line="240" w:lineRule="auto"/>
        <w:rPr>
          <w:sz w:val="20"/>
          <w:szCs w:val="20"/>
        </w:rPr>
      </w:pPr>
      <w:r w:rsidRPr="00CA75DC">
        <w:rPr>
          <w:sz w:val="20"/>
          <w:szCs w:val="20"/>
          <w:vertAlign w:val="superscript"/>
        </w:rPr>
        <w:footnoteRef/>
      </w:r>
      <w:r w:rsidRPr="00CA75DC">
        <w:rPr>
          <w:sz w:val="20"/>
          <w:szCs w:val="20"/>
        </w:rPr>
        <w:t xml:space="preserve"> Parental mental health (</w:t>
      </w:r>
      <w:proofErr w:type="spellStart"/>
      <w:r w:rsidRPr="00CA75DC">
        <w:rPr>
          <w:sz w:val="20"/>
          <w:szCs w:val="20"/>
        </w:rPr>
        <w:t>Reupert</w:t>
      </w:r>
      <w:proofErr w:type="spellEnd"/>
      <w:r w:rsidRPr="00CA75DC">
        <w:rPr>
          <w:sz w:val="20"/>
          <w:szCs w:val="20"/>
        </w:rPr>
        <w:t xml:space="preserve">, </w:t>
      </w:r>
      <w:proofErr w:type="spellStart"/>
      <w:r w:rsidRPr="00CA75DC">
        <w:rPr>
          <w:sz w:val="20"/>
          <w:szCs w:val="20"/>
        </w:rPr>
        <w:t>Maybery</w:t>
      </w:r>
      <w:proofErr w:type="spellEnd"/>
      <w:r w:rsidRPr="00CA75DC">
        <w:rPr>
          <w:sz w:val="20"/>
          <w:szCs w:val="20"/>
        </w:rPr>
        <w:t xml:space="preserve">, Nicholson, </w:t>
      </w:r>
      <w:proofErr w:type="spellStart"/>
      <w:r w:rsidRPr="00CA75DC">
        <w:rPr>
          <w:sz w:val="20"/>
          <w:szCs w:val="20"/>
        </w:rPr>
        <w:t>Gopfert</w:t>
      </w:r>
      <w:proofErr w:type="spellEnd"/>
      <w:r w:rsidRPr="00CA75DC">
        <w:rPr>
          <w:sz w:val="20"/>
          <w:szCs w:val="20"/>
        </w:rPr>
        <w:t xml:space="preserve">, </w:t>
      </w:r>
      <w:proofErr w:type="spellStart"/>
      <w:r w:rsidRPr="00CA75DC">
        <w:rPr>
          <w:sz w:val="20"/>
          <w:szCs w:val="20"/>
        </w:rPr>
        <w:t>Seeman</w:t>
      </w:r>
      <w:proofErr w:type="spellEnd"/>
      <w:r w:rsidRPr="00CA75DC">
        <w:rPr>
          <w:sz w:val="20"/>
          <w:szCs w:val="20"/>
        </w:rPr>
        <w:t>, 2015; Nicholson, Wolf, Wilder, Biebel, 2014; Beardslee, Martin, Gladstone, 2012)</w:t>
      </w:r>
    </w:p>
  </w:footnote>
  <w:footnote w:id="46">
    <w:p w14:paraId="6C7E3C8B" w14:textId="77777777" w:rsidR="00CA75DC" w:rsidRPr="00CA75DC" w:rsidRDefault="00CA75DC">
      <w:pPr>
        <w:spacing w:line="240" w:lineRule="auto"/>
        <w:rPr>
          <w:sz w:val="20"/>
          <w:szCs w:val="20"/>
        </w:rPr>
      </w:pPr>
      <w:r w:rsidRPr="00CA75DC">
        <w:rPr>
          <w:sz w:val="20"/>
          <w:szCs w:val="20"/>
          <w:vertAlign w:val="superscript"/>
        </w:rPr>
        <w:footnoteRef/>
      </w:r>
      <w:r w:rsidRPr="00CA75DC">
        <w:rPr>
          <w:sz w:val="20"/>
          <w:szCs w:val="20"/>
        </w:rPr>
        <w:t xml:space="preserve"> CANS (Anderson, Lyons, Giles et. al, 2003)</w:t>
      </w:r>
    </w:p>
  </w:footnote>
  <w:footnote w:id="47">
    <w:p w14:paraId="41E59E27" w14:textId="77777777" w:rsidR="00CA75DC" w:rsidRPr="00CA75DC" w:rsidRDefault="00CA75DC">
      <w:pPr>
        <w:spacing w:line="240" w:lineRule="auto"/>
        <w:rPr>
          <w:sz w:val="20"/>
          <w:szCs w:val="20"/>
        </w:rPr>
      </w:pPr>
      <w:r w:rsidRPr="00CA75DC">
        <w:rPr>
          <w:sz w:val="20"/>
          <w:szCs w:val="20"/>
          <w:vertAlign w:val="superscript"/>
        </w:rPr>
        <w:footnoteRef/>
      </w:r>
      <w:r w:rsidRPr="00CA75DC">
        <w:rPr>
          <w:sz w:val="20"/>
          <w:szCs w:val="20"/>
        </w:rPr>
        <w:t xml:space="preserve"> The treatment plan can be downloaded at the Massachusetts Standardized Documents Project (MSDP) website abhmass.org</w:t>
      </w:r>
    </w:p>
  </w:footnote>
  <w:footnote w:id="48">
    <w:p w14:paraId="20F1092C" w14:textId="77777777" w:rsidR="00CA75DC" w:rsidRPr="00CA75DC" w:rsidRDefault="00CA75DC">
      <w:pPr>
        <w:spacing w:line="240" w:lineRule="auto"/>
        <w:rPr>
          <w:sz w:val="20"/>
          <w:szCs w:val="20"/>
        </w:rPr>
      </w:pPr>
      <w:r w:rsidRPr="00CA75DC">
        <w:rPr>
          <w:sz w:val="20"/>
          <w:szCs w:val="20"/>
          <w:vertAlign w:val="superscript"/>
        </w:rPr>
        <w:footnoteRef/>
      </w:r>
      <w:r w:rsidRPr="00CA75DC">
        <w:rPr>
          <w:sz w:val="20"/>
          <w:szCs w:val="20"/>
        </w:rPr>
        <w:t xml:space="preserve"> Attending to caregivers needs (Cornett, 2014, chapter 15)</w:t>
      </w:r>
    </w:p>
  </w:footnote>
  <w:footnote w:id="49">
    <w:p w14:paraId="59F9B001" w14:textId="77777777" w:rsidR="00CA75DC" w:rsidRPr="00CA75DC" w:rsidRDefault="00CA75DC">
      <w:pPr>
        <w:spacing w:line="240" w:lineRule="auto"/>
        <w:rPr>
          <w:sz w:val="20"/>
          <w:szCs w:val="20"/>
        </w:rPr>
      </w:pPr>
      <w:r w:rsidRPr="00CA75DC">
        <w:rPr>
          <w:sz w:val="20"/>
          <w:szCs w:val="20"/>
          <w:vertAlign w:val="superscript"/>
        </w:rPr>
        <w:footnoteRef/>
      </w:r>
      <w:r w:rsidRPr="00CA75DC">
        <w:rPr>
          <w:sz w:val="20"/>
          <w:szCs w:val="20"/>
        </w:rPr>
        <w:t xml:space="preserve"> Educational outcomes in a SOC for children with emotional disturbance (</w:t>
      </w:r>
      <w:proofErr w:type="spellStart"/>
      <w:r w:rsidRPr="00CA75DC">
        <w:rPr>
          <w:sz w:val="20"/>
          <w:szCs w:val="20"/>
        </w:rPr>
        <w:t>Strompolis</w:t>
      </w:r>
      <w:proofErr w:type="spellEnd"/>
      <w:r w:rsidRPr="00CA75DC">
        <w:rPr>
          <w:sz w:val="20"/>
          <w:szCs w:val="20"/>
        </w:rPr>
        <w:t xml:space="preserve">, Vishnevsky, Reeve, </w:t>
      </w:r>
      <w:proofErr w:type="spellStart"/>
      <w:r w:rsidRPr="00CA75DC">
        <w:rPr>
          <w:sz w:val="20"/>
          <w:szCs w:val="20"/>
        </w:rPr>
        <w:t>Munsell</w:t>
      </w:r>
      <w:proofErr w:type="spellEnd"/>
      <w:r w:rsidRPr="00CA75DC">
        <w:rPr>
          <w:sz w:val="20"/>
          <w:szCs w:val="20"/>
        </w:rPr>
        <w:t>, Cook, Kilmer, 2012)</w:t>
      </w:r>
    </w:p>
  </w:footnote>
  <w:footnote w:id="50">
    <w:p w14:paraId="5AE1FA17" w14:textId="77777777" w:rsidR="00CA75DC" w:rsidRPr="00CA75DC" w:rsidRDefault="00CA75DC">
      <w:pPr>
        <w:spacing w:line="240" w:lineRule="auto"/>
        <w:rPr>
          <w:sz w:val="20"/>
          <w:szCs w:val="20"/>
        </w:rPr>
      </w:pPr>
      <w:r w:rsidRPr="00CA75DC">
        <w:rPr>
          <w:sz w:val="20"/>
          <w:szCs w:val="20"/>
          <w:vertAlign w:val="superscript"/>
        </w:rPr>
        <w:footnoteRef/>
      </w:r>
      <w:r w:rsidRPr="00CA75DC">
        <w:rPr>
          <w:sz w:val="20"/>
          <w:szCs w:val="20"/>
        </w:rPr>
        <w:t xml:space="preserve"> Overview of engaging natural supports (Cornett, 2011, chapter 3; </w:t>
      </w:r>
      <w:proofErr w:type="spellStart"/>
      <w:r w:rsidRPr="00CA75DC">
        <w:rPr>
          <w:sz w:val="20"/>
          <w:szCs w:val="20"/>
        </w:rPr>
        <w:t>Rast</w:t>
      </w:r>
      <w:proofErr w:type="spellEnd"/>
      <w:r w:rsidRPr="00CA75DC">
        <w:rPr>
          <w:sz w:val="20"/>
          <w:szCs w:val="20"/>
        </w:rPr>
        <w:t xml:space="preserve"> and </w:t>
      </w:r>
      <w:proofErr w:type="spellStart"/>
      <w:r w:rsidRPr="00CA75DC">
        <w:rPr>
          <w:sz w:val="20"/>
          <w:szCs w:val="20"/>
        </w:rPr>
        <w:t>Rastsmith</w:t>
      </w:r>
      <w:proofErr w:type="spellEnd"/>
      <w:r w:rsidRPr="00CA75DC">
        <w:rPr>
          <w:sz w:val="20"/>
          <w:szCs w:val="20"/>
        </w:rPr>
        <w:t xml:space="preserve">, 2015 chapters 16, 24), </w:t>
      </w:r>
    </w:p>
  </w:footnote>
  <w:footnote w:id="51">
    <w:p w14:paraId="2A443B7E" w14:textId="77777777" w:rsidR="00CA75DC" w:rsidRPr="00CA75DC" w:rsidRDefault="00CA75DC">
      <w:pPr>
        <w:spacing w:line="240" w:lineRule="auto"/>
        <w:rPr>
          <w:sz w:val="20"/>
          <w:szCs w:val="20"/>
        </w:rPr>
      </w:pPr>
      <w:r w:rsidRPr="00CA75DC">
        <w:rPr>
          <w:sz w:val="20"/>
          <w:szCs w:val="20"/>
          <w:vertAlign w:val="superscript"/>
        </w:rPr>
        <w:footnoteRef/>
      </w:r>
      <w:r w:rsidRPr="00CA75DC">
        <w:rPr>
          <w:sz w:val="20"/>
          <w:szCs w:val="20"/>
        </w:rPr>
        <w:t xml:space="preserve"> Supports for families in systems of care (Cook and Kilmer, 2010)</w:t>
      </w:r>
    </w:p>
  </w:footnote>
  <w:footnote w:id="52">
    <w:p w14:paraId="16AB2346" w14:textId="77777777" w:rsidR="00CA75DC" w:rsidRPr="00CA75DC" w:rsidRDefault="00CA75DC">
      <w:pPr>
        <w:spacing w:line="240" w:lineRule="auto"/>
        <w:rPr>
          <w:sz w:val="20"/>
          <w:szCs w:val="20"/>
        </w:rPr>
      </w:pPr>
      <w:r w:rsidRPr="00CA75DC">
        <w:rPr>
          <w:sz w:val="20"/>
          <w:szCs w:val="20"/>
          <w:vertAlign w:val="superscript"/>
        </w:rPr>
        <w:footnoteRef/>
      </w:r>
      <w:r w:rsidRPr="00CA75DC">
        <w:rPr>
          <w:sz w:val="20"/>
          <w:szCs w:val="20"/>
        </w:rPr>
        <w:t xml:space="preserve"> The importance of friends as natural supports for adolescents (Sears, 2004)</w:t>
      </w:r>
    </w:p>
  </w:footnote>
  <w:footnote w:id="53">
    <w:p w14:paraId="3E74E762" w14:textId="77777777" w:rsidR="00CA75DC" w:rsidRPr="00CA75DC" w:rsidRDefault="00CA75DC">
      <w:pPr>
        <w:spacing w:line="240" w:lineRule="auto"/>
        <w:rPr>
          <w:sz w:val="20"/>
          <w:szCs w:val="20"/>
        </w:rPr>
      </w:pPr>
      <w:r w:rsidRPr="00CA75DC">
        <w:rPr>
          <w:sz w:val="20"/>
          <w:szCs w:val="20"/>
          <w:vertAlign w:val="superscript"/>
        </w:rPr>
        <w:footnoteRef/>
      </w:r>
      <w:r w:rsidRPr="00CA75DC">
        <w:rPr>
          <w:sz w:val="20"/>
          <w:szCs w:val="20"/>
        </w:rPr>
        <w:t xml:space="preserve"> Overview of preparing for exit (Walker, </w:t>
      </w:r>
      <w:proofErr w:type="spellStart"/>
      <w:r w:rsidRPr="00CA75DC">
        <w:rPr>
          <w:sz w:val="20"/>
          <w:szCs w:val="20"/>
        </w:rPr>
        <w:t>Bruns</w:t>
      </w:r>
      <w:proofErr w:type="spellEnd"/>
      <w:r w:rsidRPr="00CA75DC">
        <w:rPr>
          <w:sz w:val="20"/>
          <w:szCs w:val="20"/>
        </w:rPr>
        <w:t xml:space="preserve">, Vandenberg, </w:t>
      </w:r>
      <w:proofErr w:type="spellStart"/>
      <w:r w:rsidRPr="00CA75DC">
        <w:rPr>
          <w:sz w:val="20"/>
          <w:szCs w:val="20"/>
        </w:rPr>
        <w:t>Rast</w:t>
      </w:r>
      <w:proofErr w:type="spellEnd"/>
      <w:r w:rsidRPr="00CA75DC">
        <w:rPr>
          <w:sz w:val="20"/>
          <w:szCs w:val="20"/>
        </w:rPr>
        <w:t xml:space="preserve">, </w:t>
      </w:r>
      <w:proofErr w:type="spellStart"/>
      <w:r w:rsidRPr="00CA75DC">
        <w:rPr>
          <w:sz w:val="20"/>
          <w:szCs w:val="20"/>
        </w:rPr>
        <w:t>Osher</w:t>
      </w:r>
      <w:proofErr w:type="spellEnd"/>
      <w:r w:rsidRPr="00CA75DC">
        <w:rPr>
          <w:sz w:val="20"/>
          <w:szCs w:val="20"/>
        </w:rPr>
        <w:t xml:space="preserve">, Miles et al, 2004; Fraser, Grove, Lee, Greene, </w:t>
      </w:r>
      <w:proofErr w:type="spellStart"/>
      <w:r w:rsidRPr="00CA75DC">
        <w:rPr>
          <w:sz w:val="20"/>
          <w:szCs w:val="20"/>
        </w:rPr>
        <w:t>Solovey</w:t>
      </w:r>
      <w:proofErr w:type="spellEnd"/>
      <w:r w:rsidRPr="00CA75DC">
        <w:rPr>
          <w:sz w:val="20"/>
          <w:szCs w:val="20"/>
        </w:rPr>
        <w:t xml:space="preserve">, 2014, chapter 8, </w:t>
      </w:r>
      <w:proofErr w:type="spellStart"/>
      <w:r w:rsidRPr="00CA75DC">
        <w:rPr>
          <w:sz w:val="20"/>
          <w:szCs w:val="20"/>
        </w:rPr>
        <w:t>Rast</w:t>
      </w:r>
      <w:proofErr w:type="spellEnd"/>
      <w:r w:rsidRPr="00CA75DC">
        <w:rPr>
          <w:sz w:val="20"/>
          <w:szCs w:val="20"/>
        </w:rPr>
        <w:t xml:space="preserve"> and </w:t>
      </w:r>
      <w:proofErr w:type="spellStart"/>
      <w:r w:rsidRPr="00CA75DC">
        <w:rPr>
          <w:sz w:val="20"/>
          <w:szCs w:val="20"/>
        </w:rPr>
        <w:t>Rastsmith</w:t>
      </w:r>
      <w:proofErr w:type="spellEnd"/>
      <w:r w:rsidRPr="00CA75DC">
        <w:rPr>
          <w:sz w:val="20"/>
          <w:szCs w:val="20"/>
        </w:rPr>
        <w:t>, 2015, chapters 22, 26)</w:t>
      </w:r>
    </w:p>
  </w:footnote>
  <w:footnote w:id="54">
    <w:p w14:paraId="25DD61DC" w14:textId="77777777" w:rsidR="00CA75DC" w:rsidRPr="00CA75DC" w:rsidRDefault="00CA75DC">
      <w:pPr>
        <w:spacing w:line="240" w:lineRule="auto"/>
        <w:rPr>
          <w:sz w:val="20"/>
          <w:szCs w:val="20"/>
        </w:rPr>
      </w:pPr>
      <w:r w:rsidRPr="00CA75DC">
        <w:rPr>
          <w:sz w:val="20"/>
          <w:szCs w:val="20"/>
          <w:vertAlign w:val="superscript"/>
        </w:rPr>
        <w:footnoteRef/>
      </w:r>
      <w:r w:rsidRPr="00CA75DC">
        <w:rPr>
          <w:sz w:val="20"/>
          <w:szCs w:val="20"/>
        </w:rPr>
        <w:t xml:space="preserve"> Early and late dropouts from treatment (</w:t>
      </w:r>
      <w:proofErr w:type="spellStart"/>
      <w:r w:rsidRPr="00CA75DC">
        <w:rPr>
          <w:sz w:val="20"/>
          <w:szCs w:val="20"/>
        </w:rPr>
        <w:t>Kazdin</w:t>
      </w:r>
      <w:proofErr w:type="spellEnd"/>
      <w:r w:rsidRPr="00CA75DC">
        <w:rPr>
          <w:sz w:val="20"/>
          <w:szCs w:val="20"/>
        </w:rPr>
        <w:t>, 1994; McCabe, 202)</w:t>
      </w:r>
    </w:p>
  </w:footnote>
  <w:footnote w:id="55">
    <w:p w14:paraId="390004CC" w14:textId="77777777" w:rsidR="00CA75DC" w:rsidRPr="00CA75DC" w:rsidRDefault="00CA75DC">
      <w:pPr>
        <w:spacing w:line="240" w:lineRule="auto"/>
        <w:rPr>
          <w:sz w:val="20"/>
          <w:szCs w:val="20"/>
        </w:rPr>
      </w:pPr>
      <w:r w:rsidRPr="00CA75DC">
        <w:rPr>
          <w:sz w:val="20"/>
          <w:szCs w:val="20"/>
          <w:vertAlign w:val="superscript"/>
        </w:rPr>
        <w:footnoteRef/>
      </w:r>
      <w:r w:rsidRPr="00CA75DC">
        <w:rPr>
          <w:sz w:val="20"/>
          <w:szCs w:val="20"/>
        </w:rPr>
        <w:t xml:space="preserve"> High priority supports for youth and their parents beyond mental health services (Trout, Hoffman, </w:t>
      </w:r>
      <w:proofErr w:type="spellStart"/>
      <w:r w:rsidRPr="00CA75DC">
        <w:rPr>
          <w:sz w:val="20"/>
          <w:szCs w:val="20"/>
        </w:rPr>
        <w:t>Huscroft</w:t>
      </w:r>
      <w:proofErr w:type="spellEnd"/>
      <w:r w:rsidRPr="00CA75DC">
        <w:rPr>
          <w:sz w:val="20"/>
          <w:szCs w:val="20"/>
        </w:rPr>
        <w:t xml:space="preserve"> D’Angelo, Epstein, Hurley, Stevens, 2014)</w:t>
      </w:r>
    </w:p>
  </w:footnote>
  <w:footnote w:id="56">
    <w:p w14:paraId="50C4D1B6" w14:textId="77777777" w:rsidR="00CA75DC" w:rsidRPr="00CA75DC" w:rsidRDefault="00CA75DC">
      <w:pPr>
        <w:spacing w:line="240" w:lineRule="auto"/>
        <w:rPr>
          <w:sz w:val="20"/>
          <w:szCs w:val="20"/>
        </w:rPr>
      </w:pPr>
      <w:r w:rsidRPr="00CA75DC">
        <w:rPr>
          <w:sz w:val="20"/>
          <w:szCs w:val="20"/>
          <w:vertAlign w:val="superscript"/>
        </w:rPr>
        <w:footnoteRef/>
      </w:r>
      <w:r w:rsidRPr="00CA75DC">
        <w:rPr>
          <w:sz w:val="20"/>
          <w:szCs w:val="20"/>
        </w:rPr>
        <w:t xml:space="preserve"> Transition to adulthood (Clark and Davis, 2000; </w:t>
      </w:r>
      <w:proofErr w:type="spellStart"/>
      <w:r w:rsidRPr="00CA75DC">
        <w:rPr>
          <w:sz w:val="20"/>
          <w:szCs w:val="20"/>
        </w:rPr>
        <w:t>Greenen</w:t>
      </w:r>
      <w:proofErr w:type="spellEnd"/>
      <w:r w:rsidRPr="00CA75DC">
        <w:rPr>
          <w:sz w:val="20"/>
          <w:szCs w:val="20"/>
        </w:rPr>
        <w:t xml:space="preserve"> and Powers, 2006; </w:t>
      </w:r>
      <w:proofErr w:type="spellStart"/>
      <w:r w:rsidRPr="00CA75DC">
        <w:rPr>
          <w:sz w:val="20"/>
          <w:szCs w:val="20"/>
        </w:rPr>
        <w:t>Schulenberg</w:t>
      </w:r>
      <w:proofErr w:type="spellEnd"/>
      <w:r w:rsidRPr="00CA75DC">
        <w:rPr>
          <w:sz w:val="20"/>
          <w:szCs w:val="20"/>
        </w:rPr>
        <w:t xml:space="preserve">, Sameroff, </w:t>
      </w:r>
      <w:proofErr w:type="spellStart"/>
      <w:r w:rsidRPr="00CA75DC">
        <w:rPr>
          <w:sz w:val="20"/>
          <w:szCs w:val="20"/>
        </w:rPr>
        <w:t>Cicchetti</w:t>
      </w:r>
      <w:proofErr w:type="spellEnd"/>
      <w:r w:rsidRPr="00CA75DC">
        <w:rPr>
          <w:sz w:val="20"/>
          <w:szCs w:val="20"/>
        </w:rPr>
        <w:t xml:space="preserve">, 2004; Davis and </w:t>
      </w:r>
      <w:proofErr w:type="spellStart"/>
      <w:r w:rsidRPr="00CA75DC">
        <w:rPr>
          <w:sz w:val="20"/>
          <w:szCs w:val="20"/>
        </w:rPr>
        <w:t>Sondheimer</w:t>
      </w:r>
      <w:proofErr w:type="spellEnd"/>
      <w:r w:rsidRPr="00CA75DC">
        <w:rPr>
          <w:sz w:val="20"/>
          <w:szCs w:val="20"/>
        </w:rPr>
        <w:t xml:space="preserve">, 2005; </w:t>
      </w:r>
      <w:proofErr w:type="spellStart"/>
      <w:r w:rsidRPr="00CA75DC">
        <w:rPr>
          <w:sz w:val="20"/>
          <w:szCs w:val="20"/>
        </w:rPr>
        <w:t>Ringeisen</w:t>
      </w:r>
      <w:proofErr w:type="spellEnd"/>
      <w:r w:rsidRPr="00CA75DC">
        <w:rPr>
          <w:sz w:val="20"/>
          <w:szCs w:val="20"/>
        </w:rPr>
        <w:t xml:space="preserve">, </w:t>
      </w:r>
      <w:proofErr w:type="spellStart"/>
      <w:r w:rsidRPr="00CA75DC">
        <w:rPr>
          <w:sz w:val="20"/>
          <w:szCs w:val="20"/>
        </w:rPr>
        <w:t>Casanueva</w:t>
      </w:r>
      <w:proofErr w:type="spellEnd"/>
      <w:r w:rsidRPr="00CA75DC">
        <w:rPr>
          <w:sz w:val="20"/>
          <w:szCs w:val="20"/>
        </w:rPr>
        <w:t xml:space="preserve">, </w:t>
      </w:r>
      <w:proofErr w:type="spellStart"/>
      <w:r w:rsidRPr="00CA75DC">
        <w:rPr>
          <w:sz w:val="20"/>
          <w:szCs w:val="20"/>
        </w:rPr>
        <w:t>Urato</w:t>
      </w:r>
      <w:proofErr w:type="spellEnd"/>
      <w:r w:rsidRPr="00CA75DC">
        <w:rPr>
          <w:sz w:val="20"/>
          <w:szCs w:val="20"/>
        </w:rPr>
        <w:t xml:space="preserve"> et al.,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90757" w14:textId="77777777" w:rsidR="00CA75DC" w:rsidRDefault="00CA75DC">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848"/>
    <w:rsid w:val="0009119A"/>
    <w:rsid w:val="001560D1"/>
    <w:rsid w:val="005916C7"/>
    <w:rsid w:val="00595113"/>
    <w:rsid w:val="009107F8"/>
    <w:rsid w:val="009529F5"/>
    <w:rsid w:val="00C525E7"/>
    <w:rsid w:val="00CA75DC"/>
    <w:rsid w:val="00DA6A0F"/>
    <w:rsid w:val="00FF7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A0E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9107F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9107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mass.gov/eohhs/docs/dmh/rsri/safety-tool-for-kids-sample.pdf" TargetMode="External"/><Relationship Id="rId1" Type="http://schemas.openxmlformats.org/officeDocument/2006/relationships/hyperlink" Target="https://www.masspartnership.com/provider/CrisisPlann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19EB4-5717-4A81-AA8D-936A45E15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1973</Words>
  <Characters>11251</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Springfield College</Company>
  <LinksUpToDate>false</LinksUpToDate>
  <CharactersWithSpaces>13198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L Taylor</dc:creator>
  <cp:lastModifiedBy> </cp:lastModifiedBy>
  <cp:revision>2</cp:revision>
  <cp:lastPrinted>2016-05-25T10:14:00Z</cp:lastPrinted>
  <dcterms:created xsi:type="dcterms:W3CDTF">2016-05-25T13:53:00Z</dcterms:created>
  <dcterms:modified xsi:type="dcterms:W3CDTF">2016-05-25T13:53:00Z</dcterms:modified>
</cp:coreProperties>
</file>